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6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848486</wp:posOffset>
                </wp:positionH>
                <wp:positionV relativeFrom="paragraph">
                  <wp:posOffset>-620342</wp:posOffset>
                </wp:positionV>
                <wp:extent cx="6071870" cy="50126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2690"/>
                          <a:chExt cx="6071870" cy="5012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27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273935">
                                <a:moveTo>
                                  <a:pt x="6071591" y="2273617"/>
                                </a:moveTo>
                                <a:lnTo>
                                  <a:pt x="0" y="227361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27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8.845898pt;width:478.1pt;height:394.7pt;mso-position-horizontal-relative:page;mso-position-vertical-relative:paragraph;z-index:-15772672" id="docshapegroup1" coordorigin="1336,-977" coordsize="9562,7894">
                <v:rect style="position:absolute;left:1336;top:3335;width:9562;height:3581" id="docshape2" filled="true" fillcolor="#002e6d" stroked="false">
                  <v:fill type="solid"/>
                </v:rect>
                <v:shape style="position:absolute;left:1336;top:-977;width:2165;height:424" type="#_x0000_t75" id="docshape3" alt="Fennemore" href="https://www.fennemorelaw.com/" stroked="false">
                  <v:imagedata r:id="rId5" o:title=""/>
                </v:shape>
                <v:shape style="position:absolute;left:1336;top:-554;width:9562;height:3890" type="#_x0000_t75" id="docshape4" stroked="false">
                  <v:imagedata r:id="rId7" o:title=""/>
                </v:shape>
                <v:rect style="position:absolute;left:1336;top:-554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Professional </w:t>
      </w:r>
      <w:r>
        <w:rPr>
          <w:color w:val="FFFFFF"/>
          <w:spacing w:val="-2"/>
        </w:rPr>
        <w:t>Liability</w:t>
      </w:r>
    </w:p>
    <w:p>
      <w:pPr>
        <w:pStyle w:val="BodyText"/>
        <w:spacing w:before="91"/>
        <w:rPr>
          <w:b/>
          <w:sz w:val="42"/>
        </w:rPr>
      </w:pPr>
    </w:p>
    <w:p>
      <w:pPr>
        <w:spacing w:line="242" w:lineRule="auto" w:before="0"/>
        <w:ind w:left="391" w:right="396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At Fennemore, our professional liability attorneys understand that your professional reputation is your most valuable asset. Our team of trusted advocates defend attorneys, accountants, engineers, architects, environmental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consultants,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other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professionals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who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are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facing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high-stakes allegations of professional negligence, breach of fiduciary duty,</w:t>
      </w:r>
    </w:p>
    <w:p>
      <w:pPr>
        <w:spacing w:before="5"/>
        <w:ind w:left="0" w:right="4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fraud,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abuse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process,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interference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related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claims.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2"/>
        <w:rPr>
          <w:sz w:val="22"/>
        </w:rPr>
      </w:pPr>
    </w:p>
    <w:p>
      <w:pPr>
        <w:spacing w:line="348" w:lineRule="auto" w:before="0"/>
        <w:ind w:left="1190" w:right="1189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Professional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liability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claims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carry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significant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consequences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reputation,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 licensure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professionals.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decades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experience,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work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seamlessly </w:t>
      </w:r>
      <w:r>
        <w:rPr>
          <w:color w:val="FFFFFF"/>
          <w:spacing w:val="-4"/>
          <w:sz w:val="16"/>
        </w:rPr>
        <w:t>across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disciplines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provide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focused,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strategic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representation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counsel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avoiding such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claims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defend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against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claims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when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ensues,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including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extended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jury </w:t>
      </w:r>
      <w:r>
        <w:rPr>
          <w:color w:val="FFFFFF"/>
          <w:spacing w:val="-2"/>
          <w:sz w:val="16"/>
        </w:rPr>
        <w:t>trials.</w:t>
      </w:r>
    </w:p>
    <w:p>
      <w:pPr>
        <w:spacing w:line="348" w:lineRule="auto" w:before="164"/>
        <w:ind w:left="931" w:right="930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Drawing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combined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strength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across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disciplines,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offer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focused, </w:t>
      </w:r>
      <w:r>
        <w:rPr>
          <w:color w:val="FFFFFF"/>
          <w:spacing w:val="-4"/>
          <w:sz w:val="16"/>
        </w:rPr>
        <w:t>strategic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representation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shaped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realities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professional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liability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disputes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demands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 </w:t>
      </w:r>
      <w:r>
        <w:rPr>
          <w:color w:val="FFFFFF"/>
          <w:spacing w:val="-2"/>
          <w:sz w:val="16"/>
        </w:rPr>
        <w:t>trial.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1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rPr>
          <w:b/>
          <w:sz w:val="20"/>
        </w:rPr>
      </w:pPr>
    </w:p>
    <w:p>
      <w:pPr>
        <w:spacing w:line="218" w:lineRule="auto" w:before="0"/>
        <w:ind w:left="5496" w:right="2414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-30946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PROFESSIONAL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LIABILITY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5496" w:right="2414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Amy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Abdo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602.916.5399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602.916.5599</w:t>
      </w:r>
    </w:p>
    <w:p>
      <w:pPr>
        <w:spacing w:line="266" w:lineRule="auto" w:before="15"/>
        <w:ind w:left="5496" w:right="2414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amy@fennemorelaw.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60"/>
        <w:rPr>
          <w:sz w:val="24"/>
        </w:rPr>
      </w:pPr>
    </w:p>
    <w:p>
      <w:pPr>
        <w:pStyle w:val="Heading2"/>
      </w:pPr>
      <w:r>
        <w:rPr>
          <w:color w:val="FF8100"/>
        </w:rPr>
        <w:t>LEGAL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MALPRACTICE</w:t>
      </w:r>
    </w:p>
    <w:p>
      <w:pPr>
        <w:pStyle w:val="BodyText"/>
        <w:spacing w:line="302" w:lineRule="auto" w:before="146"/>
        <w:ind w:left="99" w:right="429"/>
      </w:pPr>
      <w:r>
        <w:rPr>
          <w:color w:val="6E6158"/>
        </w:rPr>
        <w:t>As part of serving as the attorneys’ attorney, we are known for stepping into high-risk matters</w:t>
      </w:r>
      <w:r>
        <w:rPr>
          <w:color w:val="6E6158"/>
          <w:spacing w:val="40"/>
        </w:rPr>
        <w:t> </w:t>
      </w:r>
      <w:r>
        <w:rPr>
          <w:color w:val="6E6158"/>
        </w:rPr>
        <w:t>that</w:t>
      </w:r>
      <w:r>
        <w:rPr>
          <w:color w:val="6E6158"/>
          <w:spacing w:val="15"/>
        </w:rPr>
        <w:t> </w:t>
      </w:r>
      <w:r>
        <w:rPr>
          <w:color w:val="6E6158"/>
        </w:rPr>
        <w:t>demand</w:t>
      </w:r>
      <w:r>
        <w:rPr>
          <w:color w:val="6E6158"/>
          <w:spacing w:val="15"/>
        </w:rPr>
        <w:t> </w:t>
      </w:r>
      <w:r>
        <w:rPr>
          <w:color w:val="6E6158"/>
        </w:rPr>
        <w:t>focused</w:t>
      </w:r>
      <w:r>
        <w:rPr>
          <w:color w:val="6E6158"/>
          <w:spacing w:val="15"/>
        </w:rPr>
        <w:t> </w:t>
      </w:r>
      <w:r>
        <w:rPr>
          <w:color w:val="6E6158"/>
        </w:rPr>
        <w:t>strategy,</w:t>
      </w:r>
      <w:r>
        <w:rPr>
          <w:color w:val="6E6158"/>
          <w:spacing w:val="15"/>
        </w:rPr>
        <w:t> </w:t>
      </w:r>
      <w:r>
        <w:rPr>
          <w:color w:val="6E6158"/>
        </w:rPr>
        <w:t>deep</w:t>
      </w:r>
      <w:r>
        <w:rPr>
          <w:color w:val="6E6158"/>
          <w:spacing w:val="15"/>
        </w:rPr>
        <w:t> </w:t>
      </w:r>
      <w:r>
        <w:rPr>
          <w:color w:val="6E6158"/>
        </w:rPr>
        <w:t>knowledge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5"/>
        </w:rPr>
        <w:t> </w:t>
      </w:r>
      <w:r>
        <w:rPr>
          <w:color w:val="6E6158"/>
        </w:rPr>
        <w:t>responsibility,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significant</w:t>
      </w:r>
    </w:p>
    <w:p>
      <w:pPr>
        <w:pStyle w:val="BodyText"/>
        <w:spacing w:line="295" w:lineRule="auto"/>
        <w:ind w:left="99" w:right="147"/>
      </w:pP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capability.</w:t>
      </w:r>
      <w:r>
        <w:rPr>
          <w:color w:val="6E6158"/>
          <w:spacing w:val="24"/>
        </w:rPr>
        <w:t> </w:t>
      </w:r>
      <w:r>
        <w:rPr>
          <w:color w:val="6E6158"/>
        </w:rPr>
        <w:t>Our</w:t>
      </w:r>
      <w:r>
        <w:rPr>
          <w:color w:val="6E6158"/>
          <w:spacing w:val="24"/>
        </w:rPr>
        <w:t> </w:t>
      </w:r>
      <w:r>
        <w:rPr>
          <w:color w:val="6E6158"/>
        </w:rPr>
        <w:t>team</w:t>
      </w:r>
      <w:r>
        <w:rPr>
          <w:color w:val="6E6158"/>
          <w:spacing w:val="24"/>
        </w:rPr>
        <w:t> </w:t>
      </w:r>
      <w:r>
        <w:rPr>
          <w:color w:val="6E6158"/>
        </w:rPr>
        <w:t>defends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jury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bench</w:t>
      </w:r>
      <w:r>
        <w:rPr>
          <w:color w:val="6E6158"/>
          <w:spacing w:val="24"/>
        </w:rPr>
        <w:t> </w:t>
      </w:r>
      <w:r>
        <w:rPr>
          <w:color w:val="6E6158"/>
        </w:rPr>
        <w:t>trials,</w:t>
      </w:r>
      <w:r>
        <w:rPr>
          <w:color w:val="6E6158"/>
          <w:spacing w:val="24"/>
        </w:rPr>
        <w:t> </w:t>
      </w:r>
      <w:r>
        <w:rPr>
          <w:color w:val="6E6158"/>
        </w:rPr>
        <w:t>as well as arbitration and mediation. Our trial experience in legal malpractice matters is extensive,</w:t>
      </w:r>
      <w:r>
        <w:rPr>
          <w:color w:val="6E6158"/>
          <w:spacing w:val="40"/>
        </w:rPr>
        <w:t> </w:t>
      </w:r>
      <w:r>
        <w:rPr>
          <w:color w:val="6E6158"/>
        </w:rPr>
        <w:t>and we are routinely engaged to handle complex disputes that involve substantial exposure .We</w:t>
      </w:r>
      <w:r>
        <w:rPr>
          <w:color w:val="6E6158"/>
          <w:spacing w:val="40"/>
        </w:rPr>
        <w:t> </w:t>
      </w:r>
      <w:r>
        <w:rPr>
          <w:color w:val="6E6158"/>
        </w:rPr>
        <w:t>also provide conflict avoidance counsel to help firms resolve sensitive issues before they develop</w:t>
      </w:r>
      <w:r>
        <w:rPr>
          <w:color w:val="6E6158"/>
          <w:spacing w:val="40"/>
        </w:rPr>
        <w:t> </w:t>
      </w:r>
      <w:r>
        <w:rPr>
          <w:color w:val="6E6158"/>
        </w:rPr>
        <w:t>into formal claims.</w:t>
      </w:r>
    </w:p>
    <w:p>
      <w:pPr>
        <w:pStyle w:val="Heading2"/>
        <w:spacing w:before="152"/>
      </w:pPr>
      <w:r>
        <w:rPr>
          <w:color w:val="FF8100"/>
        </w:rPr>
        <w:t>LEGAL</w:t>
      </w:r>
      <w:r>
        <w:rPr>
          <w:color w:val="FF8100"/>
          <w:spacing w:val="12"/>
        </w:rPr>
        <w:t> </w:t>
      </w:r>
      <w:r>
        <w:rPr>
          <w:color w:val="FF8100"/>
        </w:rPr>
        <w:t>MALPRACTICE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APPEALS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/>
      </w:pPr>
      <w:r>
        <w:rPr>
          <w:color w:val="6E6158"/>
        </w:rPr>
        <w:t>Our attorneys handle legal malpractice appeals with a deep understanding of both appellate</w:t>
      </w:r>
      <w:r>
        <w:rPr>
          <w:color w:val="6E6158"/>
          <w:spacing w:val="40"/>
        </w:rPr>
        <w:t> </w:t>
      </w:r>
      <w:r>
        <w:rPr>
          <w:color w:val="6E6158"/>
        </w:rPr>
        <w:t>practice and professional liability issues. We are experienced in analyzing trial records, identifying</w:t>
      </w:r>
      <w:r>
        <w:rPr>
          <w:color w:val="6E6158"/>
          <w:spacing w:val="40"/>
        </w:rPr>
        <w:t> </w:t>
      </w:r>
      <w:r>
        <w:rPr>
          <w:color w:val="6E6158"/>
        </w:rPr>
        <w:t>errors, and crafting clear and persuasive arguments. Whether defending a favorable verdict or</w:t>
      </w:r>
      <w:r>
        <w:rPr>
          <w:color w:val="6E6158"/>
          <w:spacing w:val="40"/>
        </w:rPr>
        <w:t> </w:t>
      </w:r>
      <w:r>
        <w:rPr>
          <w:color w:val="6E6158"/>
        </w:rPr>
        <w:t>seeking reversal of an adverse ruling, we work closely with clients to develop a strategy that best</w:t>
      </w:r>
      <w:r>
        <w:rPr>
          <w:color w:val="6E6158"/>
          <w:spacing w:val="40"/>
        </w:rPr>
        <w:t> </w:t>
      </w:r>
      <w:r>
        <w:rPr>
          <w:color w:val="6E6158"/>
        </w:rPr>
        <w:t>protects their interests and their professional standing.</w:t>
      </w:r>
    </w:p>
    <w:p>
      <w:pPr>
        <w:pStyle w:val="Heading2"/>
        <w:spacing w:before="161"/>
      </w:pPr>
      <w:r>
        <w:rPr>
          <w:color w:val="FF8100"/>
        </w:rPr>
        <w:t>REPRESENTATION</w:t>
      </w:r>
      <w:r>
        <w:rPr>
          <w:color w:val="FF8100"/>
          <w:spacing w:val="9"/>
        </w:rPr>
        <w:t> </w:t>
      </w:r>
      <w:r>
        <w:rPr>
          <w:color w:val="FF8100"/>
        </w:rPr>
        <w:t>IN</w:t>
      </w:r>
      <w:r>
        <w:rPr>
          <w:color w:val="FF8100"/>
          <w:spacing w:val="9"/>
        </w:rPr>
        <w:t> </w:t>
      </w:r>
      <w:r>
        <w:rPr>
          <w:color w:val="FF8100"/>
        </w:rPr>
        <w:t>STATE</w:t>
      </w:r>
      <w:r>
        <w:rPr>
          <w:color w:val="FF8100"/>
          <w:spacing w:val="9"/>
        </w:rPr>
        <w:t> </w:t>
      </w:r>
      <w:r>
        <w:rPr>
          <w:color w:val="FF8100"/>
        </w:rPr>
        <w:t>BAR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PROCEEDINGS</w:t>
      </w:r>
    </w:p>
    <w:p>
      <w:pPr>
        <w:pStyle w:val="BodyText"/>
        <w:spacing w:line="302" w:lineRule="auto" w:before="147"/>
        <w:ind w:left="99" w:right="429"/>
      </w:pPr>
      <w:r>
        <w:rPr>
          <w:color w:val="6E6158"/>
        </w:rPr>
        <w:t>In our long history, we have represented attorneys and judges, as well as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Arizona,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all</w:t>
      </w:r>
      <w:r>
        <w:rPr>
          <w:color w:val="6E6158"/>
          <w:spacing w:val="30"/>
        </w:rPr>
        <w:t> </w:t>
      </w:r>
      <w:r>
        <w:rPr>
          <w:color w:val="6E6158"/>
        </w:rPr>
        <w:t>aspects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disciplinary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often</w:t>
      </w:r>
      <w:r>
        <w:rPr>
          <w:color w:val="6E6158"/>
          <w:spacing w:val="30"/>
        </w:rPr>
        <w:t> </w:t>
      </w:r>
      <w:r>
        <w:rPr>
          <w:color w:val="6E6158"/>
        </w:rPr>
        <w:t>accompany</w:t>
      </w:r>
      <w:r>
        <w:rPr>
          <w:color w:val="6E6158"/>
          <w:spacing w:val="3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precede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</w:p>
    <w:p>
      <w:pPr>
        <w:pStyle w:val="BodyText"/>
        <w:spacing w:line="295" w:lineRule="auto"/>
        <w:ind w:left="99" w:right="205"/>
      </w:pPr>
      <w:r>
        <w:rPr>
          <w:color w:val="6E6158"/>
        </w:rPr>
        <w:t>malpractice litigation. These matters can be uniquely complex, involving regulatory, ethical,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civil claims. Our ability to manage all phases of the process—from initial inquiry through hearings</w:t>
      </w:r>
      <w:r>
        <w:rPr>
          <w:color w:val="6E6158"/>
          <w:spacing w:val="40"/>
        </w:rPr>
        <w:t> </w:t>
      </w:r>
      <w:r>
        <w:rPr>
          <w:color w:val="6E6158"/>
        </w:rPr>
        <w:t>and potential litigation—provides clients with comprehensive, steady guidance at critical</w:t>
      </w:r>
      <w:r>
        <w:rPr>
          <w:color w:val="6E6158"/>
          <w:spacing w:val="80"/>
        </w:rPr>
        <w:t> </w:t>
      </w:r>
      <w:r>
        <w:rPr>
          <w:color w:val="6E6158"/>
        </w:rPr>
        <w:t>moments in their careers.</w:t>
      </w:r>
    </w:p>
    <w:p>
      <w:pPr>
        <w:pStyle w:val="Heading2"/>
        <w:spacing w:before="153"/>
      </w:pPr>
      <w:r>
        <w:rPr>
          <w:color w:val="FF8100"/>
        </w:rPr>
        <w:t>ACCOUNTING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MALPRACTICE</w:t>
      </w:r>
    </w:p>
    <w:p>
      <w:pPr>
        <w:pStyle w:val="BodyText"/>
        <w:spacing w:line="295" w:lineRule="auto" w:before="147"/>
        <w:ind w:left="99" w:right="429"/>
      </w:pPr>
      <w:r>
        <w:rPr>
          <w:color w:val="6E6158"/>
        </w:rPr>
        <w:t>Fennemore defends accountants and accounting firms in a wide range of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professional malpractice claims, regulatory and government investigations, and 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 tax advice, audits, return preparation, valuation work, and consulting services. Our</w:t>
      </w:r>
      <w:r>
        <w:rPr>
          <w:color w:val="6E6158"/>
          <w:spacing w:val="40"/>
        </w:rPr>
        <w:t> </w:t>
      </w:r>
      <w:r>
        <w:rPr>
          <w:color w:val="6E6158"/>
        </w:rPr>
        <w:t>attorneys have represented clients in complex state and federal litigation, as well as in</w:t>
      </w:r>
      <w:r>
        <w:rPr>
          <w:color w:val="6E6158"/>
          <w:spacing w:val="40"/>
        </w:rPr>
        <w:t> </w:t>
      </w:r>
      <w:r>
        <w:rPr>
          <w:color w:val="6E6158"/>
        </w:rPr>
        <w:t>disciplinary proceedings before state boards and other regulatory bodies. When cases </w:t>
      </w:r>
      <w:r>
        <w:rPr>
          <w:color w:val="6E6158"/>
        </w:rPr>
        <w:t>involve</w:t>
      </w:r>
      <w:r>
        <w:rPr>
          <w:color w:val="6E6158"/>
          <w:spacing w:val="40"/>
        </w:rPr>
        <w:t> </w:t>
      </w:r>
      <w:r>
        <w:rPr>
          <w:color w:val="6E6158"/>
        </w:rPr>
        <w:t>intricate tax issues, we collaborate closely with our tax attorneys, allowing us to address the</w:t>
      </w:r>
      <w:r>
        <w:rPr>
          <w:color w:val="6E6158"/>
          <w:spacing w:val="40"/>
        </w:rPr>
        <w:t> </w:t>
      </w:r>
      <w:r>
        <w:rPr>
          <w:color w:val="6E6158"/>
        </w:rPr>
        <w:t>substantive questions that often shape these disputes.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professional-liability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amy-abdo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am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Liability - Fennemore</dc:title>
  <dcterms:created xsi:type="dcterms:W3CDTF">2025-12-22T20:44:18Z</dcterms:created>
  <dcterms:modified xsi:type="dcterms:W3CDTF">2025-12-22T20:44:18Z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2025-12-22T00:00:00Z</vt:filetime>
  </property>
  <property fmtid="{D5CDD505-2E9C-101B-9397-08002B2CF9AE}" pid="5" name="Producer">
    <vt:lpwstr>Skia/PDF m142</vt:lpwstr>
  </property>
</Properties>
</file>