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im Ear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44773" y="1369338"/>
                            <a:ext cx="201548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320675">
                                <a:moveTo>
                                  <a:pt x="20152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15248" y="320382"/>
                                </a:lnTo>
                                <a:lnTo>
                                  <a:pt x="2015248" y="315214"/>
                                </a:lnTo>
                                <a:close/>
                              </a:path>
                              <a:path w="2015489" h="320675">
                                <a:moveTo>
                                  <a:pt x="2015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15248" y="5168"/>
                                </a:lnTo>
                                <a:lnTo>
                                  <a:pt x="201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45583" y="763308"/>
                            <a:ext cx="202946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TIMOTHY C.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EARL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1859626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0791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2518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00271" y="2226505"/>
                            <a:ext cx="13195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tearl@fennemorelaw.com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Tim Earl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18;top:-2501;width:3174;height:505" id="docshape5" coordorigin="6919,-2500" coordsize="3174,505" path="m10092,-2004l6919,-2004,6919,-1996,10092,-1996,10092,-2004xm10092,-2500l6919,-2500,6919,-2492,10092,-2492,10092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19;top:-3455;width:3196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TIMOTHY C.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EARL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17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619.595.3279</w:t>
                        </w:r>
                      </w:p>
                    </w:txbxContent>
                  </v:textbox>
                  <w10:wrap type="none"/>
                </v:shape>
                <v:shape style="position:absolute;left:877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478;top:-1151;width:207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tearl@fennemorelaw.com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TIMOTHY</w:t>
      </w:r>
      <w:r>
        <w:rPr>
          <w:color w:val="FF8100"/>
          <w:spacing w:val="7"/>
        </w:rPr>
        <w:t> </w:t>
      </w:r>
      <w:r>
        <w:rPr>
          <w:color w:val="FF8100"/>
        </w:rPr>
        <w:t>C.</w:t>
      </w:r>
      <w:r>
        <w:rPr>
          <w:color w:val="FF8100"/>
          <w:spacing w:val="7"/>
        </w:rPr>
        <w:t> </w:t>
      </w:r>
      <w:r>
        <w:rPr>
          <w:color w:val="FF8100"/>
          <w:spacing w:val="-4"/>
        </w:rPr>
        <w:t>EARL</w:t>
      </w:r>
    </w:p>
    <w:p>
      <w:pPr>
        <w:pStyle w:val="BodyText"/>
        <w:spacing w:line="297" w:lineRule="auto" w:before="147"/>
        <w:ind w:left="99"/>
      </w:pPr>
      <w:r>
        <w:rPr>
          <w:color w:val="6E6158"/>
        </w:rPr>
        <w:t>Timothy C. Earl, an insurance coverage, construction and business litigation attorney, is a skilled</w:t>
      </w:r>
      <w:r>
        <w:rPr>
          <w:color w:val="6E6158"/>
          <w:spacing w:val="40"/>
        </w:rPr>
        <w:t> </w:t>
      </w:r>
      <w:r>
        <w:rPr>
          <w:color w:val="6E6158"/>
        </w:rPr>
        <w:t>litigation attorney with a focus on comprehensive insurance coverage and construction law.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40"/>
        </w:rPr>
        <w:t> </w:t>
      </w:r>
      <w:r>
        <w:rPr>
          <w:color w:val="6E6158"/>
        </w:rPr>
        <w:t>spans,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coverage,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handling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cases</w:t>
      </w:r>
      <w:r>
        <w:rPr>
          <w:color w:val="6E6158"/>
          <w:spacing w:val="14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3"/>
        </w:rPr>
        <w:t> </w:t>
      </w:r>
      <w:r>
        <w:rPr>
          <w:color w:val="6E6158"/>
        </w:rPr>
        <w:t>interpretation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bad</w:t>
      </w:r>
      <w:r>
        <w:rPr>
          <w:color w:val="6E6158"/>
          <w:spacing w:val="14"/>
        </w:rPr>
        <w:t> </w:t>
      </w:r>
      <w:r>
        <w:rPr>
          <w:color w:val="6E6158"/>
        </w:rPr>
        <w:t>faith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/>
        <w:ind w:left="99" w:right="362"/>
      </w:pPr>
      <w:r>
        <w:rPr>
          <w:color w:val="6E6158"/>
        </w:rPr>
        <w:t>In insurance coverage litigation, Timothy represents policyholders and insurance companies in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variety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insurance</w:t>
      </w:r>
      <w:r>
        <w:rPr>
          <w:color w:val="6E6158"/>
          <w:spacing w:val="35"/>
        </w:rPr>
        <w:t> </w:t>
      </w:r>
      <w:r>
        <w:rPr>
          <w:color w:val="6E6158"/>
        </w:rPr>
        <w:t>coverage</w:t>
      </w:r>
      <w:r>
        <w:rPr>
          <w:color w:val="6E6158"/>
          <w:spacing w:val="35"/>
        </w:rPr>
        <w:t> </w:t>
      </w:r>
      <w:r>
        <w:rPr>
          <w:color w:val="6E6158"/>
        </w:rPr>
        <w:t>disputes</w:t>
      </w:r>
      <w:r>
        <w:rPr>
          <w:color w:val="6E6158"/>
          <w:spacing w:val="35"/>
        </w:rPr>
        <w:t> </w:t>
      </w:r>
      <w:r>
        <w:rPr>
          <w:color w:val="6E6158"/>
        </w:rPr>
        <w:t>primarily</w:t>
      </w:r>
      <w:r>
        <w:rPr>
          <w:color w:val="6E6158"/>
          <w:spacing w:val="35"/>
        </w:rPr>
        <w:t> </w:t>
      </w:r>
      <w:r>
        <w:rPr>
          <w:color w:val="6E6158"/>
        </w:rPr>
        <w:t>involving</w:t>
      </w:r>
      <w:r>
        <w:rPr>
          <w:color w:val="6E6158"/>
          <w:spacing w:val="35"/>
        </w:rPr>
        <w:t> </w:t>
      </w:r>
      <w:r>
        <w:rPr>
          <w:color w:val="6E6158"/>
        </w:rPr>
        <w:t>property</w:t>
      </w:r>
      <w:r>
        <w:rPr>
          <w:color w:val="6E6158"/>
          <w:spacing w:val="35"/>
        </w:rPr>
        <w:t> </w:t>
      </w:r>
      <w:r>
        <w:rPr>
          <w:color w:val="6E6158"/>
        </w:rPr>
        <w:t>damage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bodily</w:t>
      </w:r>
      <w:r>
        <w:rPr>
          <w:color w:val="6E6158"/>
          <w:spacing w:val="35"/>
        </w:rPr>
        <w:t> </w:t>
      </w:r>
      <w:r>
        <w:rPr>
          <w:color w:val="6E6158"/>
        </w:rPr>
        <w:t>injury arising</w:t>
      </w:r>
      <w:r>
        <w:rPr>
          <w:color w:val="6E6158"/>
          <w:spacing w:val="33"/>
        </w:rPr>
        <w:t> </w:t>
      </w:r>
      <w:r>
        <w:rPr>
          <w:color w:val="6E6158"/>
        </w:rPr>
        <w:t>out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construction</w:t>
      </w:r>
      <w:r>
        <w:rPr>
          <w:color w:val="6E6158"/>
          <w:spacing w:val="33"/>
        </w:rPr>
        <w:t> </w:t>
      </w:r>
      <w:r>
        <w:rPr>
          <w:color w:val="6E6158"/>
        </w:rPr>
        <w:t>defect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asbestos</w:t>
      </w:r>
      <w:r>
        <w:rPr>
          <w:color w:val="6E6158"/>
          <w:spacing w:val="33"/>
        </w:rPr>
        <w:t> </w:t>
      </w:r>
      <w:r>
        <w:rPr>
          <w:color w:val="6E6158"/>
        </w:rPr>
        <w:t>claims.</w:t>
      </w:r>
      <w:r>
        <w:rPr>
          <w:color w:val="6E6158"/>
          <w:spacing w:val="33"/>
        </w:rPr>
        <w:t> </w:t>
      </w:r>
      <w:r>
        <w:rPr>
          <w:color w:val="6E6158"/>
        </w:rPr>
        <w:t>He</w:t>
      </w:r>
      <w:r>
        <w:rPr>
          <w:color w:val="6E6158"/>
          <w:spacing w:val="33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policyholders</w:t>
      </w:r>
      <w:r>
        <w:rPr>
          <w:color w:val="6E6158"/>
          <w:spacing w:val="33"/>
        </w:rPr>
        <w:t> </w:t>
      </w:r>
      <w:r>
        <w:rPr>
          <w:color w:val="6E6158"/>
        </w:rPr>
        <w:t>in declaratory relief and bad faith actions against insurers, and has represented insurers in</w:t>
      </w:r>
      <w:r>
        <w:rPr>
          <w:color w:val="6E6158"/>
          <w:spacing w:val="40"/>
        </w:rPr>
        <w:t> </w:t>
      </w:r>
      <w:r>
        <w:rPr>
          <w:color w:val="6E6158"/>
        </w:rPr>
        <w:t>subrogation and contribution actions against other insurers.</w:t>
      </w:r>
    </w:p>
    <w:p>
      <w:pPr>
        <w:pStyle w:val="BodyText"/>
        <w:spacing w:line="295" w:lineRule="auto" w:before="195"/>
        <w:ind w:left="99" w:right="419"/>
      </w:pPr>
      <w:r>
        <w:rPr>
          <w:color w:val="6E6158"/>
        </w:rPr>
        <w:t>In construction litigation, Timothy represents a wide array of clients, such as developers,</w:t>
      </w:r>
      <w:r>
        <w:rPr>
          <w:color w:val="6E6158"/>
          <w:spacing w:val="40"/>
        </w:rPr>
        <w:t> </w:t>
      </w:r>
      <w:r>
        <w:rPr>
          <w:color w:val="6E6158"/>
        </w:rPr>
        <w:t>architects, and contractors in both residential and commercial projects. He’s skilled at managing indemnity claims, construction defect cases, mechanic’s lien disputes and </w:t>
      </w:r>
      <w:r>
        <w:rPr>
          <w:color w:val="6E6158"/>
        </w:rPr>
        <w:t>bid protests. His knowledge also extends to representing sureties on bond claims.</w:t>
      </w:r>
    </w:p>
    <w:p>
      <w:pPr>
        <w:pStyle w:val="BodyText"/>
        <w:spacing w:line="292" w:lineRule="auto" w:before="197"/>
        <w:ind w:left="99"/>
      </w:pPr>
      <w:r>
        <w:rPr>
          <w:color w:val="6E6158"/>
        </w:rPr>
        <w:t>Additionally, Timothy’s business litigation experience includes representing companies in </w:t>
      </w:r>
      <w:r>
        <w:rPr>
          <w:color w:val="6E6158"/>
        </w:rPr>
        <w:t>disputes</w:t>
      </w:r>
      <w:r>
        <w:rPr>
          <w:color w:val="6E6158"/>
          <w:spacing w:val="40"/>
        </w:rPr>
        <w:t> </w:t>
      </w:r>
      <w:r>
        <w:rPr>
          <w:color w:val="6E6158"/>
        </w:rPr>
        <w:t>related to real estate, unfair competition, and various tort claims. His ability to provide strategic,</w:t>
      </w:r>
      <w:r>
        <w:rPr>
          <w:color w:val="6E6158"/>
          <w:spacing w:val="40"/>
        </w:rPr>
        <w:t> </w:t>
      </w:r>
      <w:r>
        <w:rPr>
          <w:color w:val="6E6158"/>
        </w:rPr>
        <w:t>efficient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solutions</w:t>
      </w:r>
      <w:r>
        <w:rPr>
          <w:color w:val="6E6158"/>
          <w:spacing w:val="29"/>
        </w:rPr>
        <w:t> </w:t>
      </w:r>
      <w:r>
        <w:rPr>
          <w:color w:val="6E6158"/>
        </w:rPr>
        <w:t>makes</w:t>
      </w:r>
      <w:r>
        <w:rPr>
          <w:color w:val="6E6158"/>
          <w:spacing w:val="29"/>
        </w:rPr>
        <w:t> </w:t>
      </w:r>
      <w:r>
        <w:rPr>
          <w:color w:val="6E6158"/>
        </w:rPr>
        <w:t>him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valuable</w:t>
      </w:r>
      <w:r>
        <w:rPr>
          <w:color w:val="6E6158"/>
          <w:spacing w:val="29"/>
        </w:rPr>
        <w:t> </w:t>
      </w:r>
      <w:r>
        <w:rPr>
          <w:color w:val="6E6158"/>
        </w:rPr>
        <w:t>asset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construction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insurance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</w:p>
    <w:p>
      <w:pPr>
        <w:pStyle w:val="BodyText"/>
        <w:spacing w:before="10"/>
        <w:ind w:left="99"/>
      </w:pPr>
      <w:r>
        <w:rPr>
          <w:color w:val="6E6158"/>
          <w:spacing w:val="-2"/>
        </w:rPr>
        <w:t>sectors.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47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157762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282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416128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6026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San Diego School of </w:t>
      </w:r>
      <w:r>
        <w:rPr>
          <w:color w:val="6E6158"/>
        </w:rPr>
        <w:t>Law</w:t>
      </w:r>
      <w:r>
        <w:rPr>
          <w:color w:val="6E6158"/>
        </w:rPr>
        <w:t> B.A., University of California, Davis</w:t>
      </w:r>
    </w:p>
    <w:p>
      <w:pPr>
        <w:pStyle w:val="Heading1"/>
        <w:spacing w:before="167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5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152891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8676pt;width:1.65pt;height:1.65pt;mso-position-horizontal-relative:page;mso-position-vertical-relative:paragraph;z-index:15730176" id="docshape13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416424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9291pt;width:1.65pt;height:1.65pt;mso-position-horizontal-relative:page;mso-position-vertical-relative:paragraph;z-index:15730688" id="docshape1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674789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3306pt;width:1.65pt;height:1.65pt;mso-position-horizontal-relative:page;mso-position-vertical-relative:paragraph;z-index:15731200" id="docshape15" coordorigin="1670,1063" coordsize="33,33" path="m1691,1095l1682,1095,1678,1094,1671,1087,1670,1083,1670,1074,1671,1071,1678,1064,1682,1063,1691,1063,1694,1064,1701,1071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Construction Law Insurance </w:t>
      </w:r>
      <w:r>
        <w:rPr>
          <w:color w:val="6E6158"/>
        </w:rPr>
        <w:t>Coverage</w:t>
      </w:r>
    </w:p>
    <w:p>
      <w:pPr>
        <w:pStyle w:val="Heading1"/>
        <w:spacing w:before="167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73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660169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81857pt;width:1.65pt;height:1.65pt;mso-position-horizontal-relative:page;mso-position-vertical-relative:paragraph;z-index:15732224" id="docshape16" coordorigin="1670,1040" coordsize="33,33" path="m1691,1072l1682,1072,1678,1071,1671,1064,1670,1060,1670,1051,1671,1048,1678,1041,1682,1040,1691,1040,1694,1041,1701,1048,1702,1051,1702,1056,1702,1060,1701,1064,1694,1071,1691,10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Navigators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Specialty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Golden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Bear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color w:val="6E6158"/>
        </w:rPr>
        <w:t>,</w:t>
      </w:r>
      <w:r>
        <w:rPr>
          <w:color w:val="6E6158"/>
          <w:spacing w:val="-13"/>
        </w:rPr>
        <w:t> </w:t>
      </w:r>
      <w:r>
        <w:rPr>
          <w:color w:val="6E6158"/>
        </w:rPr>
        <w:t>2024</w:t>
      </w:r>
      <w:r>
        <w:rPr>
          <w:color w:val="6E6158"/>
          <w:spacing w:val="-14"/>
        </w:rPr>
        <w:t> </w:t>
      </w:r>
      <w:r>
        <w:rPr>
          <w:color w:val="6E6158"/>
        </w:rPr>
        <w:t>WL</w:t>
      </w:r>
      <w:r>
        <w:rPr>
          <w:color w:val="6E6158"/>
          <w:spacing w:val="-13"/>
        </w:rPr>
        <w:t> </w:t>
      </w:r>
      <w:r>
        <w:rPr>
          <w:color w:val="6E6158"/>
        </w:rPr>
        <w:t>59694 (N.D. Calif., 2024).</w:t>
      </w:r>
      <w:r>
        <w:rPr>
          <w:color w:val="6E6158"/>
          <w:spacing w:val="80"/>
        </w:rPr>
        <w:t> </w:t>
      </w:r>
      <w:r>
        <w:rPr>
          <w:color w:val="6E6158"/>
        </w:rPr>
        <w:t>Defended an insurance company that issued an excess policy against an equitable subrogation and equitable contribution claim of another insurer arising out of</w:t>
      </w:r>
      <w:r>
        <w:rPr>
          <w:color w:val="6E6158"/>
          <w:spacing w:val="40"/>
        </w:rPr>
        <w:t> </w:t>
      </w:r>
      <w:r>
        <w:rPr>
          <w:color w:val="6E6158"/>
        </w:rPr>
        <w:t>personal injury action</w:t>
      </w:r>
      <w:r>
        <w:rPr>
          <w:color w:val="6E6158"/>
          <w:spacing w:val="80"/>
        </w:rPr>
        <w:t> </w:t>
      </w:r>
      <w:r>
        <w:rPr>
          <w:color w:val="6E6158"/>
        </w:rPr>
        <w:t>The District Court granted summary judgment in favor of the defendant insurer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grounds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plaintiff</w:t>
      </w:r>
      <w:r>
        <w:rPr>
          <w:color w:val="6E6158"/>
          <w:spacing w:val="25"/>
        </w:rPr>
        <w:t> </w:t>
      </w:r>
      <w:r>
        <w:rPr>
          <w:color w:val="6E6158"/>
        </w:rPr>
        <w:t>insurer</w:t>
      </w:r>
      <w:r>
        <w:rPr>
          <w:color w:val="6E6158"/>
          <w:spacing w:val="25"/>
        </w:rPr>
        <w:t> </w:t>
      </w:r>
      <w:r>
        <w:rPr>
          <w:color w:val="6E6158"/>
        </w:rPr>
        <w:t>did</w:t>
      </w:r>
      <w:r>
        <w:rPr>
          <w:color w:val="6E6158"/>
          <w:spacing w:val="25"/>
        </w:rPr>
        <w:t> </w:t>
      </w:r>
      <w:r>
        <w:rPr>
          <w:color w:val="6E6158"/>
        </w:rPr>
        <w:t>not</w:t>
      </w:r>
      <w:r>
        <w:rPr>
          <w:color w:val="6E6158"/>
          <w:spacing w:val="25"/>
        </w:rPr>
        <w:t> </w:t>
      </w:r>
      <w:r>
        <w:rPr>
          <w:color w:val="6E6158"/>
        </w:rPr>
        <w:t>qualify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an</w:t>
      </w:r>
      <w:r>
        <w:rPr>
          <w:color w:val="6E6158"/>
          <w:spacing w:val="25"/>
        </w:rPr>
        <w:t> </w:t>
      </w:r>
      <w:r>
        <w:rPr>
          <w:color w:val="6E6158"/>
        </w:rPr>
        <w:t>additional</w:t>
      </w:r>
      <w:r>
        <w:rPr>
          <w:color w:val="6E6158"/>
          <w:spacing w:val="25"/>
        </w:rPr>
        <w:t> </w:t>
      </w:r>
      <w:r>
        <w:rPr>
          <w:color w:val="6E6158"/>
        </w:rPr>
        <w:t>insured</w:t>
      </w:r>
      <w:r>
        <w:rPr>
          <w:color w:val="6E6158"/>
          <w:spacing w:val="25"/>
        </w:rPr>
        <w:t> </w:t>
      </w:r>
      <w:r>
        <w:rPr>
          <w:color w:val="6E6158"/>
        </w:rPr>
        <w:t>under the</w:t>
      </w:r>
      <w:r>
        <w:rPr>
          <w:color w:val="6E6158"/>
          <w:spacing w:val="33"/>
        </w:rPr>
        <w:t> </w:t>
      </w:r>
      <w:r>
        <w:rPr>
          <w:color w:val="6E6158"/>
        </w:rPr>
        <w:t>defendant</w:t>
      </w:r>
      <w:r>
        <w:rPr>
          <w:color w:val="6E6158"/>
          <w:spacing w:val="33"/>
        </w:rPr>
        <w:t> </w:t>
      </w:r>
      <w:r>
        <w:rPr>
          <w:color w:val="6E6158"/>
        </w:rPr>
        <w:t>insurer’s</w:t>
      </w:r>
      <w:r>
        <w:rPr>
          <w:color w:val="6E6158"/>
          <w:spacing w:val="33"/>
        </w:rPr>
        <w:t> </w:t>
      </w:r>
      <w:r>
        <w:rPr>
          <w:color w:val="6E6158"/>
        </w:rPr>
        <w:t>excess</w:t>
      </w:r>
      <w:r>
        <w:rPr>
          <w:color w:val="6E6158"/>
          <w:spacing w:val="33"/>
        </w:rPr>
        <w:t> </w:t>
      </w:r>
      <w:r>
        <w:rPr>
          <w:color w:val="6E6158"/>
        </w:rPr>
        <w:t>policy</w:t>
      </w:r>
      <w:r>
        <w:rPr>
          <w:color w:val="6E6158"/>
          <w:spacing w:val="33"/>
        </w:rPr>
        <w:t> </w:t>
      </w:r>
      <w:r>
        <w:rPr>
          <w:color w:val="6E6158"/>
        </w:rPr>
        <w:t>based</w:t>
      </w:r>
      <w:r>
        <w:rPr>
          <w:color w:val="6E6158"/>
          <w:spacing w:val="33"/>
        </w:rPr>
        <w:t> </w:t>
      </w:r>
      <w:r>
        <w:rPr>
          <w:color w:val="6E6158"/>
        </w:rPr>
        <w:t>upon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contractual</w:t>
      </w:r>
      <w:r>
        <w:rPr>
          <w:color w:val="6E6158"/>
          <w:spacing w:val="33"/>
        </w:rPr>
        <w:t> </w:t>
      </w:r>
      <w:r>
        <w:rPr>
          <w:color w:val="6E6158"/>
        </w:rPr>
        <w:t>language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</w:p>
    <w:p>
      <w:pPr>
        <w:pStyle w:val="BodyText"/>
        <w:spacing w:before="1"/>
      </w:pPr>
      <w:r>
        <w:rPr>
          <w:color w:val="6E6158"/>
        </w:rPr>
        <w:t>subcontract</w:t>
      </w:r>
      <w:r>
        <w:rPr>
          <w:color w:val="6E6158"/>
          <w:spacing w:val="13"/>
        </w:rPr>
        <w:t> </w:t>
      </w:r>
      <w:r>
        <w:rPr>
          <w:color w:val="6E6158"/>
        </w:rPr>
        <w:t>between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named</w:t>
      </w:r>
      <w:r>
        <w:rPr>
          <w:color w:val="6E6158"/>
          <w:spacing w:val="14"/>
        </w:rPr>
        <w:t> </w:t>
      </w:r>
      <w:r>
        <w:rPr>
          <w:color w:val="6E6158"/>
        </w:rPr>
        <w:t>insured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additional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insured.</w:t>
      </w:r>
    </w:p>
    <w:p>
      <w:pPr>
        <w:pStyle w:val="BodyText"/>
        <w:spacing w:line="295" w:lineRule="auto" w:before="164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717820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6.521297pt;width:1.65pt;height:1.65pt;mso-position-horizontal-relative:page;mso-position-vertical-relative:paragraph;z-index:15732736" id="docshape17" coordorigin="1670,1130" coordsize="33,33" path="m1691,1163l1682,1163,1678,1161,1671,1155,1670,1151,1670,1142,1671,1138,1678,1132,1682,1130,1691,1130,1694,1132,1701,1138,1702,1142,1702,1147,1702,1151,1701,1155,1694,1161,1691,11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American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Capacity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Entertainment,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et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al.</w:t>
      </w:r>
      <w:r>
        <w:rPr>
          <w:color w:val="6E6158"/>
        </w:rPr>
        <w:t>,</w:t>
      </w:r>
      <w:r>
        <w:rPr>
          <w:color w:val="6E6158"/>
          <w:spacing w:val="-6"/>
        </w:rPr>
        <w:t> </w:t>
      </w:r>
      <w:r>
        <w:rPr>
          <w:color w:val="6E6158"/>
        </w:rPr>
        <w:t>2022</w:t>
      </w:r>
      <w:r>
        <w:rPr>
          <w:color w:val="6E6158"/>
          <w:spacing w:val="-6"/>
        </w:rPr>
        <w:t> </w:t>
      </w:r>
      <w:r>
        <w:rPr>
          <w:color w:val="6E6158"/>
        </w:rPr>
        <w:t>WL</w:t>
      </w:r>
      <w:r>
        <w:rPr>
          <w:color w:val="6E6158"/>
          <w:spacing w:val="-6"/>
        </w:rPr>
        <w:t> </w:t>
      </w:r>
      <w:r>
        <w:rPr>
          <w:color w:val="6E6158"/>
        </w:rPr>
        <w:t>19520262 (C.D. Calif., 2022).</w:t>
      </w:r>
      <w:r>
        <w:rPr>
          <w:color w:val="6E6158"/>
          <w:spacing w:val="80"/>
        </w:rPr>
        <w:t> </w:t>
      </w:r>
      <w:r>
        <w:rPr>
          <w:color w:val="6E6158"/>
        </w:rPr>
        <w:t>Prosecuted declaratory relief and equitable reimbursement action against insured arising out of an underlying employment dispute wherein the insurance policy in</w:t>
      </w:r>
      <w:r>
        <w:rPr>
          <w:color w:val="6E6158"/>
          <w:spacing w:val="40"/>
        </w:rPr>
        <w:t> </w:t>
      </w:r>
      <w:r>
        <w:rPr>
          <w:color w:val="6E6158"/>
        </w:rPr>
        <w:t>question barred coverage for actions by employees against the named insured.</w:t>
      </w:r>
      <w:r>
        <w:rPr>
          <w:color w:val="6E6158"/>
          <w:spacing w:val="80"/>
        </w:rPr>
        <w:t> </w:t>
      </w:r>
      <w:r>
        <w:rPr>
          <w:color w:val="6E6158"/>
        </w:rPr>
        <w:t>Prevailed on behalf of insurance carrier client on motion to dismiss or stay the action with the court finding,</w:t>
      </w:r>
      <w:r>
        <w:rPr>
          <w:color w:val="6E6158"/>
          <w:spacing w:val="40"/>
        </w:rPr>
        <w:t> </w:t>
      </w:r>
      <w:r>
        <w:rPr>
          <w:color w:val="6E6158"/>
        </w:rPr>
        <w:t>among</w:t>
      </w:r>
      <w:r>
        <w:rPr>
          <w:color w:val="6E6158"/>
          <w:spacing w:val="29"/>
        </w:rPr>
        <w:t> </w:t>
      </w:r>
      <w:r>
        <w:rPr>
          <w:color w:val="6E6158"/>
        </w:rPr>
        <w:t>other</w:t>
      </w:r>
      <w:r>
        <w:rPr>
          <w:color w:val="6E6158"/>
          <w:spacing w:val="29"/>
        </w:rPr>
        <w:t> </w:t>
      </w:r>
      <w:r>
        <w:rPr>
          <w:color w:val="6E6158"/>
        </w:rPr>
        <w:t>things,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insurance</w:t>
      </w:r>
      <w:r>
        <w:rPr>
          <w:color w:val="6E6158"/>
          <w:spacing w:val="29"/>
        </w:rPr>
        <w:t> </w:t>
      </w:r>
      <w:r>
        <w:rPr>
          <w:color w:val="6E6158"/>
        </w:rPr>
        <w:t>carrier</w:t>
      </w:r>
      <w:r>
        <w:rPr>
          <w:color w:val="6E6158"/>
          <w:spacing w:val="29"/>
        </w:rPr>
        <w:t> </w:t>
      </w:r>
      <w:r>
        <w:rPr>
          <w:color w:val="6E6158"/>
        </w:rPr>
        <w:t>had</w:t>
      </w:r>
      <w:r>
        <w:rPr>
          <w:color w:val="6E6158"/>
          <w:spacing w:val="29"/>
        </w:rPr>
        <w:t> </w:t>
      </w:r>
      <w:r>
        <w:rPr>
          <w:color w:val="6E6158"/>
        </w:rPr>
        <w:t>properly</w:t>
      </w:r>
      <w:r>
        <w:rPr>
          <w:color w:val="6E6158"/>
          <w:spacing w:val="29"/>
        </w:rPr>
        <w:t> </w:t>
      </w:r>
      <w:r>
        <w:rPr>
          <w:color w:val="6E6158"/>
        </w:rPr>
        <w:t>stated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claim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equitable</w:t>
      </w:r>
    </w:p>
    <w:p>
      <w:pPr>
        <w:pStyle w:val="BodyText"/>
        <w:spacing w:line="226" w:lineRule="exact"/>
      </w:pPr>
      <w:r>
        <w:rPr>
          <w:color w:val="6E6158"/>
        </w:rPr>
        <w:t>reimbursement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settlement</w:t>
      </w:r>
      <w:r>
        <w:rPr>
          <w:color w:val="6E6158"/>
          <w:spacing w:val="13"/>
        </w:rPr>
        <w:t> </w:t>
      </w:r>
      <w:r>
        <w:rPr>
          <w:color w:val="6E6158"/>
        </w:rPr>
        <w:t>payment</w:t>
      </w:r>
      <w:r>
        <w:rPr>
          <w:color w:val="6E6158"/>
          <w:spacing w:val="13"/>
        </w:rPr>
        <w:t> </w:t>
      </w:r>
      <w:r>
        <w:rPr>
          <w:color w:val="6E6158"/>
        </w:rPr>
        <w:t>through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proper</w:t>
      </w:r>
      <w:r>
        <w:rPr>
          <w:color w:val="6E6158"/>
          <w:spacing w:val="13"/>
        </w:rPr>
        <w:t> </w:t>
      </w:r>
      <w:r>
        <w:rPr>
          <w:color w:val="6E6158"/>
        </w:rPr>
        <w:t>reservation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rights.</w:t>
      </w:r>
    </w:p>
    <w:p>
      <w:pPr>
        <w:pStyle w:val="BodyText"/>
        <w:spacing w:line="295" w:lineRule="auto" w:before="172"/>
        <w:ind w:right="1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635056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0.004459pt;width:1.65pt;height:1.65pt;mso-position-horizontal-relative:page;mso-position-vertical-relative:paragraph;z-index:15733248" id="docshape18" coordorigin="1670,1000" coordsize="33,33" path="m1691,1033l1682,1033,1678,1031,1671,1025,1670,1021,1670,1012,1671,1008,1678,1002,1682,1000,1691,1000,1694,1002,1701,1008,1702,1012,1702,1016,1702,1021,1701,1025,1694,1031,1691,10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i/>
          <w:color w:val="6E6158"/>
          <w:sz w:val="20"/>
        </w:rPr>
        <w:t>viara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Residence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Club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Owners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Association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Security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National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color w:val="6E6158"/>
        </w:rPr>
        <w:t>,</w:t>
      </w:r>
      <w:r>
        <w:rPr>
          <w:color w:val="6E6158"/>
          <w:spacing w:val="-13"/>
        </w:rPr>
        <w:t> </w:t>
      </w:r>
      <w:r>
        <w:rPr>
          <w:color w:val="6E6158"/>
        </w:rPr>
        <w:t>2020</w:t>
      </w:r>
      <w:r>
        <w:rPr>
          <w:color w:val="6E6158"/>
          <w:spacing w:val="-13"/>
        </w:rPr>
        <w:t> </w:t>
      </w:r>
      <w:r>
        <w:rPr>
          <w:color w:val="6E6158"/>
        </w:rPr>
        <w:t>WL 6083446 (S.D. Calif., 2020).</w:t>
      </w:r>
      <w:r>
        <w:rPr>
          <w:color w:val="6E6158"/>
          <w:spacing w:val="80"/>
        </w:rPr>
        <w:t> </w:t>
      </w:r>
      <w:r>
        <w:rPr>
          <w:color w:val="6E6158"/>
        </w:rPr>
        <w:t>Prosecuted a bad faith, equitable subrogation and equitable contribution claim based upon claims assigned to a homeowners association client by a</w:t>
      </w:r>
      <w:r>
        <w:rPr>
          <w:color w:val="6E6158"/>
          <w:spacing w:val="40"/>
        </w:rPr>
        <w:t> </w:t>
      </w:r>
      <w:r>
        <w:rPr>
          <w:color w:val="6E6158"/>
        </w:rPr>
        <w:t>general contractor arising out of a construction defect case.</w:t>
      </w:r>
      <w:r>
        <w:rPr>
          <w:color w:val="6E6158"/>
          <w:spacing w:val="80"/>
        </w:rPr>
        <w:t> </w:t>
      </w:r>
      <w:r>
        <w:rPr>
          <w:color w:val="6E6158"/>
        </w:rPr>
        <w:t>Successfully defeated a motion</w:t>
      </w:r>
      <w:r>
        <w:rPr>
          <w:color w:val="6E6158"/>
          <w:spacing w:val="40"/>
        </w:rPr>
        <w:t> </w:t>
      </w:r>
      <w:r>
        <w:rPr>
          <w:color w:val="6E6158"/>
        </w:rPr>
        <w:t>to dismiss in Federal Court by the defendant insurer under theories of promissory estoppel and</w:t>
      </w:r>
      <w:r>
        <w:rPr>
          <w:color w:val="6E6158"/>
          <w:spacing w:val="40"/>
        </w:rPr>
        <w:t> </w:t>
      </w:r>
      <w:r>
        <w:rPr>
          <w:color w:val="6E6158"/>
        </w:rPr>
        <w:t>negligent misrepresentation.</w:t>
      </w:r>
    </w:p>
    <w:p>
      <w:pPr>
        <w:pStyle w:val="BodyText"/>
        <w:spacing w:line="295" w:lineRule="auto" w:before="105"/>
        <w:ind w:right="3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592380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644108pt;width:1.65pt;height:1.65pt;mso-position-horizontal-relative:page;mso-position-vertical-relative:paragraph;z-index:15733760" id="docshape19" coordorigin="1670,933" coordsize="33,33" path="m1691,965l1682,965,1678,964,1671,957,1670,954,1670,945,1671,941,1678,934,1682,933,1691,933,1694,934,1701,941,1702,945,1702,949,1702,954,1701,957,1694,964,1691,9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Liberty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Mutual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Bosa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Development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II,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color w:val="6E6158"/>
        </w:rPr>
        <w:t>,</w:t>
      </w:r>
      <w:r>
        <w:rPr>
          <w:color w:val="6E6158"/>
          <w:spacing w:val="-10"/>
        </w:rPr>
        <w:t> </w:t>
      </w:r>
      <w:r>
        <w:rPr>
          <w:color w:val="6E6158"/>
        </w:rPr>
        <w:t>2019</w:t>
      </w:r>
      <w:r>
        <w:rPr>
          <w:color w:val="6E6158"/>
          <w:spacing w:val="-11"/>
        </w:rPr>
        <w:t> </w:t>
      </w:r>
      <w:r>
        <w:rPr>
          <w:color w:val="6E6158"/>
        </w:rPr>
        <w:t>WL</w:t>
      </w:r>
      <w:r>
        <w:rPr>
          <w:color w:val="6E6158"/>
          <w:spacing w:val="-11"/>
        </w:rPr>
        <w:t> </w:t>
      </w:r>
      <w:r>
        <w:rPr>
          <w:color w:val="6E6158"/>
        </w:rPr>
        <w:t>3306304 (S.D. Calif., 2019).</w:t>
      </w:r>
      <w:r>
        <w:rPr>
          <w:color w:val="6E6158"/>
          <w:spacing w:val="40"/>
        </w:rPr>
        <w:t> </w:t>
      </w:r>
      <w:r>
        <w:rPr>
          <w:color w:val="6E6158"/>
        </w:rPr>
        <w:t>Defended residential developer and general contractor clients in a</w:t>
      </w:r>
      <w:r>
        <w:rPr>
          <w:color w:val="6E6158"/>
          <w:spacing w:val="40"/>
        </w:rPr>
        <w:t> </w:t>
      </w:r>
      <w:r>
        <w:rPr>
          <w:color w:val="6E6158"/>
        </w:rPr>
        <w:t>deductible reimbursement claim based upon legal questions of single versus multiple occurrences.</w:t>
      </w:r>
      <w:r>
        <w:rPr>
          <w:color w:val="6E6158"/>
          <w:spacing w:val="80"/>
        </w:rPr>
        <w:t> </w:t>
      </w:r>
      <w:r>
        <w:rPr>
          <w:color w:val="6E6158"/>
        </w:rPr>
        <w:t>Prevailed in a motion to strike the plaintiff insurance carrier’s attempt to use mediation-protected</w:t>
      </w:r>
      <w:r>
        <w:rPr>
          <w:color w:val="6E6158"/>
          <w:spacing w:val="40"/>
        </w:rPr>
        <w:t> </w:t>
      </w:r>
      <w:r>
        <w:rPr>
          <w:color w:val="6E6158"/>
        </w:rPr>
        <w:t>documents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support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carrier’s</w:t>
      </w:r>
      <w:r>
        <w:rPr>
          <w:color w:val="6E6158"/>
          <w:spacing w:val="40"/>
        </w:rPr>
        <w:t> </w:t>
      </w:r>
      <w:r>
        <w:rPr>
          <w:color w:val="6E6158"/>
        </w:rPr>
        <w:t>summary</w:t>
      </w:r>
      <w:r>
        <w:rPr>
          <w:color w:val="6E6158"/>
          <w:spacing w:val="40"/>
        </w:rPr>
        <w:t> </w:t>
      </w:r>
      <w:r>
        <w:rPr>
          <w:color w:val="6E6158"/>
        </w:rPr>
        <w:t>judgment</w:t>
      </w:r>
    </w:p>
    <w:p>
      <w:pPr>
        <w:pStyle w:val="BodyText"/>
        <w:spacing w:before="2"/>
      </w:pPr>
      <w:r>
        <w:rPr>
          <w:color w:val="6E6158"/>
          <w:spacing w:val="-2"/>
        </w:rPr>
        <w:t>motion.</w:t>
      </w:r>
    </w:p>
    <w:p>
      <w:pPr>
        <w:spacing w:line="290" w:lineRule="auto" w:before="164"/>
        <w:ind w:left="351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Evanston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Insurance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Company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Southridge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Property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Owners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Association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Palm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Springs,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Inc.</w:t>
      </w:r>
      <w:r>
        <w:rPr>
          <w:color w:val="6E6158"/>
          <w:spacing w:val="-2"/>
          <w:sz w:val="19"/>
        </w:rPr>
        <w:t>, </w:t>
      </w:r>
      <w:r>
        <w:rPr>
          <w:color w:val="6E6158"/>
          <w:sz w:val="19"/>
        </w:rPr>
        <w:t>(C.D. Calif., 2019).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Defended homeowners association in a declaratory relief action by an insurance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carrier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arising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out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underlying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trespass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claim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homeowners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association.</w:t>
      </w:r>
    </w:p>
    <w:p>
      <w:pPr>
        <w:pStyle w:val="BodyText"/>
        <w:spacing w:before="13" w:after="7"/>
      </w:pPr>
      <w:r>
        <w:rPr>
          <w:color w:val="6E6158"/>
        </w:rPr>
        <w:t>Prevailed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motion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dismiss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insurance</w:t>
      </w:r>
      <w:r>
        <w:rPr>
          <w:color w:val="6E6158"/>
          <w:spacing w:val="12"/>
        </w:rPr>
        <w:t> </w:t>
      </w:r>
      <w:r>
        <w:rPr>
          <w:color w:val="6E6158"/>
        </w:rPr>
        <w:t>carrier’s</w:t>
      </w:r>
      <w:r>
        <w:rPr>
          <w:color w:val="6E6158"/>
          <w:spacing w:val="12"/>
        </w:rPr>
        <w:t> </w:t>
      </w:r>
      <w:r>
        <w:rPr>
          <w:color w:val="6E6158"/>
        </w:rPr>
        <w:t>entire</w:t>
      </w:r>
      <w:r>
        <w:rPr>
          <w:color w:val="6E6158"/>
          <w:spacing w:val="12"/>
        </w:rPr>
        <w:t> </w:t>
      </w:r>
      <w:r>
        <w:rPr>
          <w:color w:val="6E6158"/>
        </w:rPr>
        <w:t>complaint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under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0" coordorigin="0,0" coordsize="33,33">
                <v:shape style="position:absolute;left:0;top:0;width:33;height:33" id="docshape21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line="295" w:lineRule="auto" w:before="13"/>
        <w:ind w:right="191"/>
        <w:jc w:val="both"/>
      </w:pPr>
      <w:r>
        <w:rPr>
          <w:color w:val="6E6158"/>
        </w:rPr>
        <w:t>the </w:t>
      </w:r>
      <w:r>
        <w:rPr>
          <w:color w:val="6E6158"/>
          <w:u w:val="single" w:color="6E6158"/>
        </w:rPr>
        <w:t>Brillhart</w:t>
      </w:r>
      <w:r>
        <w:rPr>
          <w:color w:val="6E6158"/>
          <w:u w:val="none"/>
        </w:rPr>
        <w:t> factors on the grounds that having a federal court decide the case would require the court to decide a state law question that could have res judicata effect in the underlying state court action, an outcome which would cause unnecessary entanglement between the federal and state court systems.</w:t>
      </w:r>
    </w:p>
    <w:p>
      <w:pPr>
        <w:pStyle w:val="BodyText"/>
        <w:spacing w:line="295" w:lineRule="auto" w:before="116"/>
        <w:ind w:right="4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607799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858261pt;width:1.65pt;height:1.65pt;mso-position-horizontal-relative:page;mso-position-vertical-relative:paragraph;z-index:15734272" id="docshape22" coordorigin="1670,957" coordsize="33,33" path="m1691,990l1682,990,1678,988,1671,982,1670,978,1670,969,1671,965,1678,959,1682,957,1691,957,1694,959,1701,965,1702,969,1702,973,1702,978,1701,982,1694,988,1691,9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Centex Golden Construction Company v. Dale Tile Company</w:t>
      </w:r>
      <w:r>
        <w:rPr>
          <w:color w:val="6E6158"/>
        </w:rPr>
        <w:t>, 78 Cal. App. 4</w:t>
      </w:r>
      <w:r>
        <w:rPr>
          <w:color w:val="6E6158"/>
          <w:position w:val="7"/>
          <w:sz w:val="16"/>
        </w:rPr>
        <w:t>th </w:t>
      </w:r>
      <w:r>
        <w:rPr>
          <w:color w:val="6E6158"/>
        </w:rPr>
        <w:t>992 (2000). Prosecuted contractual indemnity claim on behalf a general contractor against a subcontractor arising out of a construction defect claim through trial and appeal.</w:t>
      </w:r>
      <w:r>
        <w:rPr>
          <w:color w:val="6E6158"/>
          <w:spacing w:val="80"/>
        </w:rPr>
        <w:t> </w:t>
      </w:r>
      <w:r>
        <w:rPr>
          <w:color w:val="6E6158"/>
        </w:rPr>
        <w:t>The trial court and court of appeal enforced a contractual indemnity against the subcontractor</w:t>
      </w:r>
      <w:r>
        <w:rPr>
          <w:color w:val="6E6158"/>
          <w:spacing w:val="40"/>
        </w:rPr>
        <w:t> </w:t>
      </w:r>
      <w:r>
        <w:rPr>
          <w:color w:val="6E6158"/>
        </w:rPr>
        <w:t>based upon alleged negligence despite a finding that no party was at fault for tile cracking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defects.</w:t>
      </w:r>
    </w:p>
    <w:p>
      <w:pPr>
        <w:pStyle w:val="Heading1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right="20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152580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422pt;width:1.65pt;height:1.65pt;mso-position-horizontal-relative:page;mso-position-vertical-relative:paragraph;z-index:15734784" id="docshape2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416114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4908pt;width:1.65pt;height:1.65pt;mso-position-horizontal-relative:page;mso-position-vertical-relative:paragraph;z-index:15735296" id="docshape2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AV® Preeminent™ Peer Review Rating by Martindale</w:t>
      </w:r>
      <w:r>
        <w:rPr>
          <w:rFonts w:ascii="Liberation Sans" w:hAnsi="Liberation Sans"/>
          <w:color w:val="6E6158"/>
        </w:rPr>
        <w:t>-</w:t>
      </w:r>
      <w:r>
        <w:rPr>
          <w:color w:val="6E6158"/>
        </w:rPr>
        <w:t>Hubbell, 2006-</w:t>
      </w:r>
      <w:r>
        <w:rPr>
          <w:color w:val="6E6158"/>
        </w:rPr>
        <w:t>2025 Top Rated Litigator by the Legal Leaders of ALM, 2021-2023</w:t>
      </w:r>
    </w:p>
    <w:p>
      <w:pPr>
        <w:pStyle w:val="BodyText"/>
        <w:spacing w:line="427" w:lineRule="auto"/>
        <w:ind w:right="20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63394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1683pt;width:1.65pt;height:1.65pt;mso-position-horizontal-relative:page;mso-position-vertical-relative:paragraph;z-index:15735808" id="docshape25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321760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5449pt;width:1.65pt;height:1.65pt;mso-position-horizontal-relative:page;mso-position-vertical-relative:paragraph;z-index:15736320" id="docshape26" coordorigin="1670,507" coordsize="33,33" path="m1691,539l1682,539,1678,538,1671,531,1670,527,1670,518,1671,515,1678,508,1682,507,1691,507,1694,508,1701,515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 in the field of Litigation – Construction, 2024-</w:t>
      </w:r>
      <w:r>
        <w:rPr>
          <w:color w:val="6E6158"/>
        </w:rPr>
        <w:t>2025 Super Lawyer – Insurance Coverage, 2019-2024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30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6832" id="docshape2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7344" id="docshape28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San Diego Lawyer, San Diego Magazine, 2013-2023, </w:t>
      </w:r>
      <w:r>
        <w:rPr>
          <w:color w:val="6E6158"/>
        </w:rPr>
        <w:t>2025 Top 100 Leaders in Law by San Diego Business Journal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43pt;width:1.65pt;height:1.65pt;mso-position-horizontal-relative:page;mso-position-vertical-relative:paragraph;z-index:15737856" id="docshape29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2"/>
        </w:rPr>
        <w:t> </w:t>
      </w:r>
      <w:r>
        <w:rPr>
          <w:color w:val="6E6158"/>
        </w:rPr>
        <w:t>Lawyer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LA</w:t>
      </w:r>
      <w:r>
        <w:rPr>
          <w:color w:val="6E6158"/>
          <w:spacing w:val="12"/>
        </w:rPr>
        <w:t> </w:t>
      </w:r>
      <w:r>
        <w:rPr>
          <w:color w:val="6E6158"/>
        </w:rPr>
        <w:t>Times,</w:t>
      </w:r>
      <w:r>
        <w:rPr>
          <w:color w:val="6E6158"/>
          <w:spacing w:val="13"/>
        </w:rPr>
        <w:t> </w:t>
      </w:r>
      <w:r>
        <w:rPr>
          <w:color w:val="6E6158"/>
        </w:rPr>
        <w:t>2014-</w:t>
      </w:r>
      <w:r>
        <w:rPr>
          <w:color w:val="6E6158"/>
          <w:spacing w:val="-4"/>
        </w:rPr>
        <w:t>2024</w:t>
      </w:r>
    </w:p>
    <w:p>
      <w:pPr>
        <w:pStyle w:val="BodyText"/>
        <w:spacing w:line="420" w:lineRule="auto" w:before="174"/>
        <w:ind w:right="1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169882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6589pt;width:1.65pt;height:1.65pt;mso-position-horizontal-relative:page;mso-position-vertical-relative:paragraph;z-index:15738368" id="docshape30" coordorigin="1670,268" coordsize="33,33" path="m1691,300l1682,300,1678,298,1671,292,1670,288,1670,279,1671,275,1678,269,1682,268,1691,268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433415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719pt;width:1.65pt;height:1.65pt;mso-position-horizontal-relative:page;mso-position-vertical-relative:paragraph;z-index:15738880" id="docshape31" coordorigin="1670,683" coordsize="33,33" path="m1691,715l1682,715,1678,714,1671,707,1670,703,1670,694,1671,690,1678,684,1682,683,1691,683,1694,684,1701,690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San Diego Attorney in Insurance Coverage by San Diego Daily </w:t>
      </w:r>
      <w:r>
        <w:rPr>
          <w:color w:val="6E6158"/>
        </w:rPr>
        <w:t>Transcript Top 1% of The American Registry, “Best of the Best”</w:t>
      </w:r>
    </w:p>
    <w:p>
      <w:pPr>
        <w:pStyle w:val="Heading1"/>
        <w:spacing w:before="37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251084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0418pt;width:1.65pt;height:1.65pt;mso-position-horizontal-relative:page;mso-position-vertical-relative:paragraph;z-index:15739392" id="docshape32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“From the Beginning to the End, Essential Tools to Secure Settlement,” West Coast Casualty Conference, May 2025</w:t>
      </w:r>
    </w:p>
    <w:p>
      <w:pPr>
        <w:pStyle w:val="BodyText"/>
        <w:spacing w:line="292" w:lineRule="auto" w:before="1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270694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314552pt;width:1.65pt;height:1.65pt;mso-position-horizontal-relative:page;mso-position-vertical-relative:paragraph;z-index:15739904" id="docshape33" coordorigin="1670,426" coordsize="33,33" path="m1691,459l1682,459,1678,457,1671,451,1670,447,1670,438,1671,434,1678,428,1682,426,1691,426,1694,428,1701,434,1702,438,1702,443,1702,447,1701,451,1694,457,1691,4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 &amp; Presenter, “Understanding Deductibles and Self-Insured Retentions,” The </w:t>
      </w:r>
      <w:r>
        <w:rPr>
          <w:color w:val="6E6158"/>
        </w:rPr>
        <w:t>Seminar Group’s Insurance in Construction Industry Seminar, January 2023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236034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430pt;width:1.65pt;height:1.65pt;mso-position-horizontal-relative:page;mso-position-vertical-relative:paragraph;z-index:15740416" id="docshape3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“Wrap Policies Today:</w:t>
      </w:r>
      <w:r>
        <w:rPr>
          <w:color w:val="6E6158"/>
          <w:spacing w:val="40"/>
        </w:rPr>
        <w:t> </w:t>
      </w:r>
      <w:r>
        <w:rPr>
          <w:color w:val="6E6158"/>
        </w:rPr>
        <w:t>The Good, The Bad and the Ugly,” West Coast Casualty Conference, October 2021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136532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50624pt;width:1.65pt;height:1.65pt;mso-position-horizontal-relative:page;mso-position-vertical-relative:paragraph;z-index:15740928" id="docshape35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“WRAP</w:t>
      </w:r>
      <w:r>
        <w:rPr>
          <w:color w:val="6E6158"/>
          <w:spacing w:val="11"/>
        </w:rPr>
        <w:t> </w:t>
      </w:r>
      <w:r>
        <w:rPr>
          <w:color w:val="6E6158"/>
        </w:rPr>
        <w:t>Insurance</w:t>
      </w:r>
      <w:r>
        <w:rPr>
          <w:color w:val="6E6158"/>
          <w:spacing w:val="11"/>
        </w:rPr>
        <w:t> </w:t>
      </w:r>
      <w:r>
        <w:rPr>
          <w:color w:val="6E6158"/>
        </w:rPr>
        <w:t>Live</w:t>
      </w:r>
      <w:r>
        <w:rPr>
          <w:color w:val="6E6158"/>
          <w:spacing w:val="11"/>
        </w:rPr>
        <w:t> </w:t>
      </w:r>
      <w:r>
        <w:rPr>
          <w:color w:val="6E6158"/>
        </w:rPr>
        <w:t>Webcast,”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Seminar</w:t>
      </w:r>
      <w:r>
        <w:rPr>
          <w:color w:val="6E6158"/>
          <w:spacing w:val="11"/>
        </w:rPr>
        <w:t> </w:t>
      </w:r>
      <w:r>
        <w:rPr>
          <w:color w:val="6E6158"/>
        </w:rPr>
        <w:t>Group,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268230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0535pt;width:1.65pt;height:1.65pt;mso-position-horizontal-relative:page;mso-position-vertical-relative:paragraph;z-index:15741440" id="docshape36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“Does Business Interruption Insurance Cover COVID-19 Related Business Shutdowns </w:t>
      </w:r>
      <w:r>
        <w:rPr>
          <w:color w:val="6E6158"/>
        </w:rPr>
        <w:t>in California, Firm Newsletter, 2020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224189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2719pt;width:1.65pt;height:1.65pt;mso-position-horizontal-relative:page;mso-position-vertical-relative:paragraph;z-index:15741952" id="docshape3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“Construction Law: Wrapping Your Head Around Wrap Policies,” AGC San Diego, November 2017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235882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395pt;width:1.65pt;height:1.65pt;mso-position-horizontal-relative:page;mso-position-vertical-relative:paragraph;z-index:15742464" id="docshape3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“Insurance Archaeology – Raiders of the Lost Policies,” San Diego County Bar Association, May 2016</w:t>
      </w:r>
    </w:p>
    <w:p>
      <w:pPr>
        <w:pStyle w:val="BodyText"/>
        <w:spacing w:line="292" w:lineRule="auto" w:before="113"/>
        <w:ind w:right="362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224225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5579pt;width:1.65pt;height:1.65pt;mso-position-horizontal-relative:page;mso-position-vertical-relative:paragraph;z-index:15742976" id="docshape3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“California Law for Design Professionals,” Lorman Education Services, September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2002</w:t>
      </w:r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55"/>
        <w:ind w:right="4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158097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649pt;width:1.65pt;height:1.65pt;mso-position-horizontal-relative:page;mso-position-vertical-relative:paragraph;z-index:15743488" id="docshape40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416463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393pt;width:1.65pt;height:1.65pt;mso-position-horizontal-relative:page;mso-position-vertical-relative:paragraph;z-index:15744000" id="docshape41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Construction Lawyers Society of </w:t>
      </w:r>
      <w:r>
        <w:rPr>
          <w:color w:val="6E6158"/>
        </w:rPr>
        <w:t>America Member, Trial Law Institute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63831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6064pt;width:1.65pt;height:1.65pt;mso-position-horizontal-relative:page;mso-position-vertical-relative:paragraph;z-index:15744512" id="docshape42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Diversity</w:t>
      </w:r>
      <w:r>
        <w:rPr>
          <w:color w:val="6E6158"/>
          <w:spacing w:val="7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422" w:lineRule="auto" w:before="174"/>
        <w:ind w:right="4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175279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57pt;width:1.65pt;height:1.65pt;mso-position-horizontal-relative:page;mso-position-vertical-relative:paragraph;z-index:15745024" id="docshape4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433645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5313pt;width:1.65pt;height:1.65pt;mso-position-horizontal-relative:page;mso-position-vertical-relative:paragraph;z-index:15745536" id="docshape44" coordorigin="1670,683" coordsize="33,33" path="m1691,715l1682,715,1678,714,1671,708,1670,704,1670,695,1671,691,1678,684,1682,683,1691,683,1694,684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692011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89079pt;width:1.65pt;height:1.65pt;mso-position-horizontal-relative:page;mso-position-vertical-relative:paragraph;z-index:15746048" id="docshape45" coordorigin="1670,1090" coordsize="33,33" path="m1691,1122l1682,1122,1678,1121,1671,1114,1670,1111,1670,1102,1671,1098,1678,1091,1682,1090,1691,1090,1694,1091,1701,1098,1702,1102,1702,1106,1702,1111,1701,1114,1694,1121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Diego County Bar Association Member, Building Industry Association of San </w:t>
      </w:r>
      <w:r>
        <w:rPr>
          <w:color w:val="6E6158"/>
        </w:rPr>
        <w:t>Diego Former Member, American Bar Association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64004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9741pt;width:1.65pt;height:1.65pt;mso-position-horizontal-relative:page;mso-position-vertical-relative:paragraph;z-index:15746560" id="docshape46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Alliance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157868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57pt;width:1.65pt;height:1.65pt;mso-position-horizontal-relative:page;mso-position-vertical-relative:paragraph;z-index:15747072" id="docshape47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82"/>
        <w:ind w:right="5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174963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631pt;width:1.65pt;height:1.65pt;mso-position-horizontal-relative:page;mso-position-vertical-relative:paragraph;z-index:15747584" id="docshape48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438495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27199pt;width:1.65pt;height:1.65pt;mso-position-horizontal-relative:page;mso-position-vertical-relative:paragraph;z-index:15748096" id="docshape49" coordorigin="1670,691" coordsize="33,33" path="m1691,723l1682,723,1678,722,1671,715,1670,711,1670,702,1671,698,1678,692,1682,691,1691,691,1694,692,1701,698,1702,702,1702,707,1702,711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District Court for Central, Northern, Eastern and Southern Districts of </w:t>
      </w:r>
      <w:r>
        <w:rPr>
          <w:color w:val="6E6158"/>
        </w:rPr>
        <w:t>California</w:t>
      </w:r>
      <w:r>
        <w:rPr>
          <w:color w:val="6E6158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63550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3974pt;width:1.65pt;height:1.65pt;mso-position-horizontal-relative:page;mso-position-vertical-relative:paragraph;z-index:15748608" id="docshape50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Western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iberation Sans">
    <w:altName w:val="Liberation San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tear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C. Earl - Fennemore</dc:title>
  <dcterms:created xsi:type="dcterms:W3CDTF">2025-12-08T19:16:28Z</dcterms:created>
  <dcterms:modified xsi:type="dcterms:W3CDTF">2025-12-08T19:16:28Z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2025-12-08T00:00:00Z</vt:filetime>
  </property>
  <property fmtid="{D5CDD505-2E9C-101B-9397-08002B2CF9AE}" pid="5" name="Producer">
    <vt:lpwstr>Skia/PDF m142</vt:lpwstr>
  </property>
</Properties>
</file>