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Aaron Lovaas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34423" y="763308"/>
                            <a:ext cx="12515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AARON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LOVAAS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05339" y="2133494"/>
                            <a:ext cx="50990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702.692.8099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3799" y="2500373"/>
                            <a:ext cx="14928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alovaas@fennemorelaw.com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Aaron Lovaas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32;top:-3887;width:1971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AARON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LOVAAS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16;top:-1729;width:803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702.692.8010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702.692.8099</w:t>
                        </w:r>
                      </w:p>
                    </w:txbxContent>
                  </v:textbox>
                  <w10:wrap type="none"/>
                </v:shape>
                <v:shape style="position:absolute;left:7342;top:-1151;width:235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alovaas@fennemorelaw.com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AARON</w:t>
      </w:r>
      <w:r>
        <w:rPr>
          <w:color w:val="FF8100"/>
          <w:spacing w:val="6"/>
        </w:rPr>
        <w:t> </w:t>
      </w:r>
      <w:r>
        <w:rPr>
          <w:color w:val="FF8100"/>
        </w:rPr>
        <w:t>D.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LOVAAS</w:t>
      </w:r>
    </w:p>
    <w:p>
      <w:pPr>
        <w:pStyle w:val="BodyText"/>
        <w:spacing w:line="297" w:lineRule="auto" w:before="146"/>
        <w:ind w:left="99" w:right="132"/>
        <w:jc w:val="both"/>
      </w:pPr>
      <w:r>
        <w:rPr>
          <w:color w:val="6E6158"/>
        </w:rPr>
        <w:t>Aaron Lovaas is a Director in Fennemore’s Business Litigation practice group. A Las Vegas native,</w:t>
      </w:r>
      <w:r>
        <w:rPr>
          <w:color w:val="6E6158"/>
          <w:spacing w:val="40"/>
        </w:rPr>
        <w:t> </w:t>
      </w:r>
      <w:r>
        <w:rPr>
          <w:color w:val="6E6158"/>
        </w:rPr>
        <w:t>he has over 30 years of experience assisting clients with transactional, business litigation, and </w:t>
      </w:r>
      <w:r>
        <w:rPr>
          <w:color w:val="6E6158"/>
        </w:rPr>
        <w:t>real estate matters.</w:t>
      </w:r>
    </w:p>
    <w:p>
      <w:pPr>
        <w:pStyle w:val="BodyText"/>
        <w:spacing w:line="295" w:lineRule="auto" w:before="192"/>
        <w:ind w:left="99" w:right="389"/>
      </w:pPr>
      <w:r>
        <w:rPr>
          <w:color w:val="6E6158"/>
        </w:rPr>
        <w:t>Aaron’s transactional business law experience includes helping businesses with the </w:t>
      </w:r>
      <w:r>
        <w:rPr>
          <w:color w:val="6E6158"/>
        </w:rPr>
        <w:t>formation</w:t>
      </w:r>
      <w:r>
        <w:rPr>
          <w:color w:val="6E6158"/>
          <w:spacing w:val="40"/>
        </w:rPr>
        <w:t> </w:t>
      </w:r>
      <w:r>
        <w:rPr>
          <w:color w:val="6E6158"/>
        </w:rPr>
        <w:t>and maintenance of business entities, joint ventures, mergers and acquisitions, business and</w:t>
      </w:r>
      <w:r>
        <w:rPr>
          <w:color w:val="6E6158"/>
          <w:spacing w:val="40"/>
        </w:rPr>
        <w:t> </w:t>
      </w:r>
      <w:r>
        <w:rPr>
          <w:color w:val="6E6158"/>
        </w:rPr>
        <w:t>ownership transaction planning, all manner of commercial contracts, real estate matters</w:t>
      </w:r>
      <w:r>
        <w:rPr>
          <w:color w:val="6E6158"/>
          <w:spacing w:val="40"/>
        </w:rPr>
        <w:t> </w:t>
      </w:r>
      <w:r>
        <w:rPr>
          <w:color w:val="6E6158"/>
        </w:rPr>
        <w:t>(commercial</w:t>
      </w:r>
      <w:r>
        <w:rPr>
          <w:color w:val="6E6158"/>
          <w:spacing w:val="34"/>
        </w:rPr>
        <w:t> </w:t>
      </w:r>
      <w:r>
        <w:rPr>
          <w:color w:val="6E6158"/>
        </w:rPr>
        <w:t>leasing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acquisitions),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well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general</w:t>
      </w:r>
      <w:r>
        <w:rPr>
          <w:color w:val="6E6158"/>
          <w:spacing w:val="34"/>
        </w:rPr>
        <w:t> </w:t>
      </w:r>
      <w:r>
        <w:rPr>
          <w:color w:val="6E6158"/>
        </w:rPr>
        <w:t>corporate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internal</w:t>
      </w:r>
      <w:r>
        <w:rPr>
          <w:color w:val="6E6158"/>
          <w:spacing w:val="34"/>
        </w:rPr>
        <w:t> </w:t>
      </w:r>
      <w:r>
        <w:rPr>
          <w:color w:val="6E6158"/>
        </w:rPr>
        <w:t>policy</w:t>
      </w:r>
    </w:p>
    <w:p>
      <w:pPr>
        <w:pStyle w:val="BodyText"/>
        <w:spacing w:line="297" w:lineRule="auto" w:before="1"/>
        <w:ind w:left="99" w:right="179"/>
      </w:pPr>
      <w:r>
        <w:rPr>
          <w:color w:val="6E6158"/>
        </w:rPr>
        <w:t>compliance specific to the client. Aaron has represented clients who have been acquired by</w:t>
      </w:r>
      <w:r>
        <w:rPr>
          <w:color w:val="6E6158"/>
          <w:spacing w:val="40"/>
        </w:rPr>
        <w:t> </w:t>
      </w:r>
      <w:r>
        <w:rPr>
          <w:color w:val="6E6158"/>
        </w:rPr>
        <w:t>publicly traded companies and transactions requiring collaboration with multiple counsel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multiple specialty practices.</w:t>
      </w:r>
    </w:p>
    <w:p>
      <w:pPr>
        <w:pStyle w:val="BodyText"/>
        <w:spacing w:line="295" w:lineRule="auto" w:before="191"/>
        <w:ind w:left="99" w:right="389"/>
      </w:pPr>
      <w:r>
        <w:rPr>
          <w:color w:val="6E6158"/>
        </w:rPr>
        <w:t>His business litigation practice in state and federal courts includes negotiation, pre-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matters, litigation, trial, and post-trial appellate matters involving a wide variety of claims,</w:t>
      </w:r>
      <w:r>
        <w:rPr>
          <w:color w:val="6E6158"/>
          <w:spacing w:val="40"/>
        </w:rPr>
        <w:t> </w:t>
      </w:r>
      <w:r>
        <w:rPr>
          <w:color w:val="6E6158"/>
        </w:rPr>
        <w:t>including breach of contract, fraud, breach of fiduciary duty, and other business and commercial causes of action.</w:t>
      </w:r>
    </w:p>
    <w:p>
      <w:pPr>
        <w:pStyle w:val="BodyText"/>
        <w:spacing w:line="297" w:lineRule="auto" w:before="197"/>
        <w:ind w:left="99" w:right="250"/>
      </w:pPr>
      <w:r>
        <w:rPr>
          <w:color w:val="6E6158"/>
        </w:rPr>
        <w:t>Throughout Aaron’s career, he has represented at least a dozen real estate developers in</w:t>
      </w:r>
      <w:r>
        <w:rPr>
          <w:color w:val="6E6158"/>
          <w:spacing w:val="80"/>
        </w:rPr>
        <w:t> </w:t>
      </w:r>
      <w:r>
        <w:rPr>
          <w:color w:val="6E6158"/>
        </w:rPr>
        <w:t>Southern Nevada, both commercial and residential. During the course of that representation,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negotiated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drafted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purchase/sale</w:t>
      </w:r>
      <w:r>
        <w:rPr>
          <w:color w:val="6E6158"/>
          <w:spacing w:val="40"/>
        </w:rPr>
        <w:t> </w:t>
      </w:r>
      <w:r>
        <w:rPr>
          <w:color w:val="6E6158"/>
        </w:rPr>
        <w:t>contracts;</w:t>
      </w:r>
      <w:r>
        <w:rPr>
          <w:color w:val="6E6158"/>
          <w:spacing w:val="40"/>
        </w:rPr>
        <w:t>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leases,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</w:p>
    <w:p>
      <w:pPr>
        <w:pStyle w:val="BodyText"/>
        <w:spacing w:line="295" w:lineRule="auto"/>
        <w:ind w:left="99" w:right="250"/>
      </w:pPr>
      <w:r>
        <w:rPr>
          <w:color w:val="6E6158"/>
        </w:rPr>
        <w:t>vanilla and gray shell terms; and build-to-suit agreements. He has also performed or assisted in</w:t>
      </w:r>
      <w:r>
        <w:rPr>
          <w:color w:val="6E6158"/>
          <w:spacing w:val="40"/>
        </w:rPr>
        <w:t> </w:t>
      </w:r>
      <w:r>
        <w:rPr>
          <w:color w:val="6E6158"/>
        </w:rPr>
        <w:t>pre-closing due diligence tasks, such as researching and clearing title exceptions. Aaron has</w:t>
      </w:r>
      <w:r>
        <w:rPr>
          <w:color w:val="6E6158"/>
          <w:spacing w:val="40"/>
        </w:rPr>
        <w:t> </w:t>
      </w:r>
      <w:r>
        <w:rPr>
          <w:color w:val="6E6158"/>
        </w:rPr>
        <w:t>represented property owners, commercial tenants, land developers, general contractors, </w:t>
      </w:r>
      <w:r>
        <w:rPr>
          <w:color w:val="6E6158"/>
        </w:rPr>
        <w:t>trade</w:t>
      </w:r>
      <w:r>
        <w:rPr>
          <w:color w:val="6E6158"/>
          <w:spacing w:val="40"/>
        </w:rPr>
        <w:t> </w:t>
      </w:r>
      <w:r>
        <w:rPr>
          <w:color w:val="6E6158"/>
        </w:rPr>
        <w:t>sub-contractors,</w:t>
      </w:r>
      <w:r>
        <w:rPr>
          <w:color w:val="6E6158"/>
          <w:spacing w:val="15"/>
        </w:rPr>
        <w:t> </w:t>
      </w:r>
      <w:r>
        <w:rPr>
          <w:color w:val="6E6158"/>
        </w:rPr>
        <w:t>title</w:t>
      </w:r>
      <w:r>
        <w:rPr>
          <w:color w:val="6E6158"/>
          <w:spacing w:val="15"/>
        </w:rPr>
        <w:t> </w:t>
      </w:r>
      <w:r>
        <w:rPr>
          <w:color w:val="6E6158"/>
        </w:rPr>
        <w:t>companies,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lenders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many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6"/>
        </w:rPr>
        <w:t> </w:t>
      </w:r>
      <w:r>
        <w:rPr>
          <w:color w:val="6E6158"/>
        </w:rPr>
        <w:t>cases,</w:t>
      </w:r>
      <w:r>
        <w:rPr>
          <w:color w:val="6E6158"/>
          <w:spacing w:val="15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mechanics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lien</w:t>
      </w:r>
    </w:p>
    <w:p>
      <w:pPr>
        <w:pStyle w:val="BodyText"/>
        <w:spacing w:line="292" w:lineRule="auto"/>
        <w:ind w:left="99"/>
      </w:pPr>
      <w:r>
        <w:rPr>
          <w:color w:val="6E6158"/>
        </w:rPr>
        <w:t>issues, specific performance issues, title defect and breach of escrow issues, lenders’ </w:t>
      </w:r>
      <w:r>
        <w:rPr>
          <w:color w:val="6E6158"/>
        </w:rPr>
        <w:t>covenants,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covenants, and residential construction defect claims.</w:t>
      </w:r>
    </w:p>
    <w:p>
      <w:pPr>
        <w:pStyle w:val="BodyText"/>
        <w:spacing w:line="297" w:lineRule="auto" w:before="194"/>
        <w:ind w:left="99"/>
      </w:pPr>
      <w:r>
        <w:rPr>
          <w:color w:val="6E6158"/>
        </w:rPr>
        <w:t>In addition to his business and real estate practice, Aaron also serves as outside general counsel,</w:t>
      </w:r>
      <w:r>
        <w:rPr>
          <w:color w:val="6E6158"/>
          <w:spacing w:val="40"/>
        </w:rPr>
        <w:t> </w:t>
      </w:r>
      <w:r>
        <w:rPr>
          <w:color w:val="6E6158"/>
        </w:rPr>
        <w:t>advising clients on all manner of legal issues, from litigation to corporate governance, as well as</w:t>
      </w:r>
      <w:r>
        <w:rPr>
          <w:color w:val="6E6158"/>
          <w:spacing w:val="40"/>
        </w:rPr>
        <w:t> </w:t>
      </w:r>
      <w:r>
        <w:rPr>
          <w:color w:val="6E6158"/>
        </w:rPr>
        <w:t>general business advice.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ind w:left="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157702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7519pt;width:1.65pt;height:1.65pt;mso-position-horizontal-relative:page;mso-position-vertical-relative:paragraph;z-index:15729152" id="docshape11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Seattle</w:t>
      </w:r>
      <w:r>
        <w:rPr>
          <w:color w:val="6E6158"/>
          <w:spacing w:val="7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School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31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12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0176" id="docshape13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M.B.A., University of Nevada, Las Vegas, Lee Business </w:t>
      </w:r>
      <w:r>
        <w:rPr>
          <w:color w:val="6E6158"/>
        </w:rPr>
        <w:t>School</w:t>
      </w:r>
      <w:r>
        <w:rPr>
          <w:color w:val="6E6158"/>
        </w:rPr>
        <w:t> B.A., University of Nevada, Las Vegas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0688" id="docshape14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Diploma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Advanced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</w:rPr>
        <w:t>Advocacy</w:t>
      </w:r>
      <w:r>
        <w:rPr>
          <w:color w:val="6E6158"/>
          <w:spacing w:val="11"/>
        </w:rPr>
        <w:t> </w:t>
      </w:r>
      <w:r>
        <w:rPr>
          <w:color w:val="6E6158"/>
        </w:rPr>
        <w:t>Skills,</w:t>
      </w:r>
      <w:r>
        <w:rPr>
          <w:color w:val="6E6158"/>
          <w:spacing w:val="11"/>
        </w:rPr>
        <w:t> </w:t>
      </w:r>
      <w:r>
        <w:rPr>
          <w:color w:val="6E6158"/>
        </w:rPr>
        <w:t>National</w:t>
      </w:r>
      <w:r>
        <w:rPr>
          <w:color w:val="6E6158"/>
          <w:spacing w:val="12"/>
        </w:rPr>
        <w:t> </w:t>
      </w:r>
      <w:r>
        <w:rPr>
          <w:color w:val="6E6158"/>
        </w:rPr>
        <w:t>Institute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Trial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Advocacy</w:t>
      </w:r>
    </w:p>
    <w:p>
      <w:pPr>
        <w:pStyle w:val="Heading1"/>
        <w:spacing w:before="213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left="351" w:right="67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157812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183pt;width:1.65pt;height:1.65pt;mso-position-horizontal-relative:page;mso-position-vertical-relative:paragraph;z-index:15731200" id="docshape15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416178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932pt;width:1.65pt;height:1.65pt;mso-position-horizontal-relative:page;mso-position-vertical-relative:paragraph;z-index:15731712" id="docshape1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Heading1"/>
        <w:spacing w:before="15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 w:before="155"/>
        <w:ind w:left="351"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158020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2585pt;width:1.65pt;height:1.65pt;mso-position-horizontal-relative:page;mso-position-vertical-relative:paragraph;z-index:15732224" id="docshape17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416386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635pt;width:1.65pt;height:1.65pt;mso-position-horizontal-relative:page;mso-position-vertical-relative:paragraph;z-index:15732736" id="docshape18" coordorigin="1670,656" coordsize="33,33" path="m1691,688l1682,688,1678,687,1671,680,1670,676,1670,668,1671,664,1678,657,1682,656,1691,656,1694,657,1701,664,1702,668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Mountain States Super Lawyers – Business Law and Business Litigation, 2008 – </w:t>
      </w:r>
      <w:r>
        <w:rPr>
          <w:color w:val="6E6158"/>
        </w:rPr>
        <w:t>2021 Top Lawyer in Nevada, The Legal Network, 2015, 2016</w:t>
      </w:r>
    </w:p>
    <w:p>
      <w:pPr>
        <w:pStyle w:val="BodyText"/>
        <w:spacing w:line="420" w:lineRule="auto"/>
        <w:ind w:left="351" w:right="27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63753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9989pt;width:1.65pt;height:1.65pt;mso-position-horizontal-relative:page;mso-position-vertical-relative:paragraph;z-index:15733248" id="docshape1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322119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3726pt;width:1.65pt;height:1.65pt;mso-position-horizontal-relative:page;mso-position-vertical-relative:paragraph;z-index:15733760" id="docshape20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Attorneys in Mountain States, Salt Lake Magazine, 2015, </w:t>
      </w:r>
      <w:r>
        <w:rPr>
          <w:color w:val="6E6158"/>
        </w:rPr>
        <w:t>2016 Top Lawyer, Desert Companion Magazine, 2014</w:t>
      </w:r>
    </w:p>
    <w:p>
      <w:pPr>
        <w:pStyle w:val="BodyText"/>
        <w:spacing w:line="420" w:lineRule="auto" w:before="5"/>
        <w:ind w:left="351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62744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0506pt;width:1.65pt;height:1.65pt;mso-position-horizontal-relative:page;mso-position-vertical-relative:paragraph;z-index:15734272" id="docshape21" coordorigin="1670,99" coordsize="33,33" path="m1691,131l1682,131,1678,130,1671,123,1670,120,1670,111,1671,107,1678,100,1682,99,1691,99,1694,100,1701,107,1702,111,1702,115,1702,120,1701,123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321110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84256pt;width:1.65pt;height:1.65pt;mso-position-horizontal-relative:page;mso-position-vertical-relative:paragraph;z-index:15734784" id="docshape22" coordorigin="1670,506" coordsize="33,33" path="m1691,538l1682,538,1678,537,1671,530,1670,526,1670,517,1671,514,1678,507,1682,506,1691,506,1694,507,1701,514,1702,517,1702,522,1702,526,1701,530,1694,537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Top 100 Litigation Lawyers in the State of Nevada, American Society of Legal Advocates, 2014</w:t>
      </w:r>
      <w:r>
        <w:rPr>
          <w:color w:val="6E6158"/>
          <w:spacing w:val="40"/>
        </w:rPr>
        <w:t> </w:t>
      </w:r>
      <w:r>
        <w:rPr>
          <w:color w:val="6E6158"/>
        </w:rPr>
        <w:t>Top Lawyers in Southern Nevada, Vegas, Inc., 2012</w:t>
      </w:r>
    </w:p>
    <w:p>
      <w:pPr>
        <w:pStyle w:val="Heading1"/>
        <w:spacing w:before="160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157654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377pt;width:1.65pt;height:1.65pt;mso-position-horizontal-relative:page;mso-position-vertical-relative:paragraph;z-index:15735296" id="docshape2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“Esports:</w:t>
      </w:r>
      <w:r>
        <w:rPr>
          <w:color w:val="6E6158"/>
          <w:spacing w:val="7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Whole</w:t>
      </w:r>
      <w:r>
        <w:rPr>
          <w:color w:val="6E6158"/>
          <w:spacing w:val="8"/>
        </w:rPr>
        <w:t> </w:t>
      </w:r>
      <w:r>
        <w:rPr>
          <w:color w:val="6E6158"/>
        </w:rPr>
        <w:t>Different</w:t>
      </w:r>
      <w:r>
        <w:rPr>
          <w:color w:val="6E6158"/>
          <w:spacing w:val="8"/>
        </w:rPr>
        <w:t> </w:t>
      </w:r>
      <w:r>
        <w:rPr>
          <w:color w:val="6E6158"/>
        </w:rPr>
        <w:t>Ball</w:t>
      </w:r>
      <w:r>
        <w:rPr>
          <w:color w:val="6E6158"/>
          <w:spacing w:val="8"/>
        </w:rPr>
        <w:t> </w:t>
      </w:r>
      <w:r>
        <w:rPr>
          <w:color w:val="6E6158"/>
        </w:rPr>
        <w:t>Game,”</w:t>
      </w:r>
      <w:r>
        <w:rPr>
          <w:color w:val="6E6158"/>
          <w:spacing w:val="8"/>
        </w:rPr>
        <w:t> </w:t>
      </w:r>
      <w:r>
        <w:rPr>
          <w:color w:val="6E6158"/>
        </w:rPr>
        <w:t>Nevada</w:t>
      </w:r>
      <w:r>
        <w:rPr>
          <w:color w:val="6E6158"/>
          <w:spacing w:val="8"/>
        </w:rPr>
        <w:t> </w:t>
      </w:r>
      <w:r>
        <w:rPr>
          <w:color w:val="6E6158"/>
        </w:rPr>
        <w:t>Lawyer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Vol.</w:t>
      </w:r>
      <w:r>
        <w:rPr>
          <w:color w:val="6E6158"/>
          <w:spacing w:val="8"/>
        </w:rPr>
        <w:t> </w:t>
      </w:r>
      <w:r>
        <w:rPr>
          <w:color w:val="6E6158"/>
        </w:rPr>
        <w:t>26,</w:t>
      </w:r>
      <w:r>
        <w:rPr>
          <w:color w:val="6E6158"/>
          <w:spacing w:val="8"/>
        </w:rPr>
        <w:t> </w:t>
      </w:r>
      <w:r>
        <w:rPr>
          <w:color w:val="6E6158"/>
        </w:rPr>
        <w:t>Issue</w:t>
      </w:r>
      <w:r>
        <w:rPr>
          <w:color w:val="6E6158"/>
          <w:spacing w:val="8"/>
        </w:rPr>
        <w:t> </w:t>
      </w:r>
      <w:r>
        <w:rPr>
          <w:color w:val="6E6158"/>
        </w:rPr>
        <w:t>8</w:t>
      </w:r>
      <w:r>
        <w:rPr>
          <w:color w:val="6E6158"/>
          <w:spacing w:val="8"/>
        </w:rPr>
        <w:t> </w:t>
      </w:r>
      <w:r>
        <w:rPr>
          <w:rFonts w:ascii="Arimo" w:hAnsi="Arimo"/>
          <w:color w:val="6E6158"/>
        </w:rPr>
        <w:t>·</w:t>
      </w:r>
      <w:r>
        <w:rPr>
          <w:rFonts w:ascii="Arimo" w:hAnsi="Arimo"/>
          <w:color w:val="6E6158"/>
          <w:spacing w:val="8"/>
        </w:rPr>
        <w:t> </w:t>
      </w:r>
      <w:r>
        <w:rPr>
          <w:color w:val="6E6158"/>
        </w:rPr>
        <w:t>Aug</w:t>
      </w:r>
      <w:r>
        <w:rPr>
          <w:color w:val="6E6158"/>
          <w:spacing w:val="8"/>
        </w:rPr>
        <w:t> </w:t>
      </w:r>
      <w:r>
        <w:rPr>
          <w:color w:val="6E6158"/>
        </w:rPr>
        <w:t>1,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left="351"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268396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3593pt;width:1.65pt;height:1.65pt;mso-position-horizontal-relative:page;mso-position-vertical-relative:paragraph;z-index:15735808" id="docshape24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“Is Post-Judgment Discovery of a Non-Party’s Assets Allowed in Nevada? The Answer: </w:t>
      </w:r>
      <w:r>
        <w:rPr>
          <w:color w:val="6E6158"/>
        </w:rPr>
        <w:t>It Depends,” Nevada Lawyer, Vol. 25, Issue 6. </w:t>
      </w:r>
      <w:r>
        <w:rPr>
          <w:rFonts w:ascii="Arimo" w:hAnsi="Arimo"/>
          <w:color w:val="6E6158"/>
        </w:rPr>
        <w:t>· </w:t>
      </w:r>
      <w:r>
        <w:rPr>
          <w:color w:val="6E6158"/>
        </w:rPr>
        <w:t>Jun 1, 2017</w:t>
      </w:r>
    </w:p>
    <w:p>
      <w:pPr>
        <w:pStyle w:val="Heading1"/>
        <w:spacing w:before="274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47"/>
        <w:ind w:left="351" w:right="127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158047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722pt;width:1.65pt;height:1.65pt;mso-position-horizontal-relative:page;mso-position-vertical-relative:paragraph;z-index:15736320" id="docshape25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416413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490pt;width:1.65pt;height:1.65pt;mso-position-horizontal-relative:page;mso-position-vertical-relative:paragraph;z-index:15736832" id="docshape26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Directors, UNLV – Lee Business School Alumni Association, 2014-</w:t>
      </w:r>
      <w:r>
        <w:rPr>
          <w:color w:val="6E6158"/>
        </w:rPr>
        <w:t>2019 Member, Las Vegas Philharmonic Guild, 2010 – 2015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63693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5265pt;width:1.65pt;height:1.65pt;mso-position-horizontal-relative:page;mso-position-vertical-relative:paragraph;z-index:15737344" id="docshape27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4"/>
        </w:rPr>
        <w:t> </w:t>
      </w:r>
      <w:r>
        <w:rPr>
          <w:color w:val="6E6158"/>
        </w:rPr>
        <w:t>LawPact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Association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Firms,</w:t>
      </w:r>
      <w:r>
        <w:rPr>
          <w:color w:val="6E6158"/>
          <w:spacing w:val="15"/>
        </w:rPr>
        <w:t> </w:t>
      </w:r>
      <w:r>
        <w:rPr>
          <w:color w:val="6E6158"/>
        </w:rPr>
        <w:t>2009-</w:t>
      </w:r>
      <w:r>
        <w:rPr>
          <w:color w:val="6E6158"/>
          <w:spacing w:val="-2"/>
        </w:rPr>
        <w:t>Present</w:t>
      </w:r>
    </w:p>
    <w:p>
      <w:pPr>
        <w:pStyle w:val="BodyText"/>
        <w:spacing w:line="292" w:lineRule="auto" w:before="173"/>
        <w:ind w:left="351" w:right="3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262700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5095pt;width:1.65pt;height:1.65pt;mso-position-horizontal-relative:page;mso-position-vertical-relative:paragraph;z-index:15737856" id="docshape28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Association Section of Business Law (2001-2011, 2017-2020) </w:t>
      </w:r>
      <w:r>
        <w:rPr>
          <w:color w:val="6E6158"/>
        </w:rPr>
        <w:t>(Subcommittee Chair, 2007-2009), American Bar Association Section of Litigation (2001 – 2010)</w:t>
      </w:r>
    </w:p>
    <w:p>
      <w:pPr>
        <w:pStyle w:val="Heading1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157836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033pt;width:1.65pt;height:1.65pt;mso-position-horizontal-relative:page;mso-position-vertical-relative:paragraph;z-index:15738368" id="docshape29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169851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4095pt;width:1.65pt;height:1.65pt;mso-position-horizontal-relative:page;mso-position-vertical-relative:paragraph;z-index:15738880" id="docshape30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</w:t>
      </w:r>
      <w:r>
        <w:rPr>
          <w:color w:val="6E6158"/>
          <w:spacing w:val="13"/>
        </w:rPr>
        <w:t> </w:t>
      </w:r>
      <w:r>
        <w:rPr>
          <w:color w:val="6E6158"/>
        </w:rPr>
        <w:t>States</w:t>
      </w:r>
      <w:r>
        <w:rPr>
          <w:color w:val="6E6158"/>
          <w:spacing w:val="14"/>
        </w:rPr>
        <w:t> </w:t>
      </w:r>
      <w:r>
        <w:rPr>
          <w:color w:val="6E6158"/>
        </w:rPr>
        <w:t>Supreme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line="420" w:lineRule="auto" w:before="174"/>
        <w:ind w:left="351" w:right="45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174967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005pt;width:1.65pt;height:1.65pt;mso-position-horizontal-relative:page;mso-position-vertical-relative:paragraph;z-index:15739392" id="docshape31" coordorigin="1670,276" coordsize="33,33" path="m1691,308l1682,308,1678,307,1671,300,1670,296,1670,287,1671,283,1678,277,1682,276,1691,276,1694,277,1701,283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433333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0747pt;width:1.65pt;height:1.65pt;mso-position-horizontal-relative:page;mso-position-vertical-relative:paragraph;z-index:15739904" id="docshape32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Court of Appeals, 9th Circuit United States District Court, District of </w:t>
      </w:r>
      <w:r>
        <w:rPr>
          <w:color w:val="6E6158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mo">
    <w:altName w:val="Arimo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las-vegas/" TargetMode="External"/><Relationship Id="rId10" Type="http://schemas.openxmlformats.org/officeDocument/2006/relationships/hyperlink" Target="mailto:alovaa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D. Lovaas - Fennemore</dc:title>
  <dcterms:created xsi:type="dcterms:W3CDTF">2026-01-22T11:09:17Z</dcterms:created>
  <dcterms:modified xsi:type="dcterms:W3CDTF">2026-01-22T11:09:17Z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