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dobeStock 16904189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0" w:lineRule="auto" w:before="271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ADA and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Accessibility</w:t>
                              </w:r>
                            </w:p>
                            <w:p>
                              <w:pPr>
                                <w:spacing w:line="240" w:lineRule="auto" w:before="91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Nationwide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Accessibility,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Compliance,</w:t>
                              </w:r>
                              <w:r>
                                <w:rPr>
                                  <w:color w:val="FFFFF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Inclusion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dobeStock 1690418965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0" w:lineRule="auto" w:before="271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ADA and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Accessibility</w:t>
                        </w:r>
                      </w:p>
                      <w:p>
                        <w:pPr>
                          <w:spacing w:line="240" w:lineRule="auto" w:before="91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Nationwide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Counsel</w:t>
                        </w:r>
                        <w:r>
                          <w:rPr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Accessibility,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Compliance,</w:t>
                        </w:r>
                        <w:r>
                          <w:rPr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Inclusion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188" w:lineRule="exact" w:before="103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43884</wp:posOffset>
            </wp:positionV>
            <wp:extent cx="1395174" cy="1395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ADA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AND</w:t>
        </w:r>
      </w:hyperlink>
    </w:p>
    <w:p>
      <w:pPr>
        <w:spacing w:line="188" w:lineRule="exact" w:before="0"/>
        <w:ind w:left="352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ACCESSIBILITY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Bruna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E.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Pedrini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602.916.5487</w:t>
      </w:r>
    </w:p>
    <w:p>
      <w:pPr>
        <w:spacing w:before="7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602.916.5687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bpedrini@fennemorel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ind w:left="0"/>
        <w:rPr>
          <w:sz w:val="12"/>
        </w:rPr>
      </w:pPr>
    </w:p>
    <w:p>
      <w:pPr>
        <w:pStyle w:val="BodyText"/>
        <w:spacing w:before="104"/>
        <w:ind w:left="0"/>
        <w:rPr>
          <w:sz w:val="12"/>
        </w:rPr>
      </w:pPr>
    </w:p>
    <w:p>
      <w:pPr>
        <w:spacing w:line="188" w:lineRule="exact" w:before="0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1313545</wp:posOffset>
            </wp:positionH>
            <wp:positionV relativeFrom="paragraph">
              <wp:posOffset>-21675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ADA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AND</w:t>
        </w:r>
      </w:hyperlink>
    </w:p>
    <w:p>
      <w:pPr>
        <w:spacing w:line="188" w:lineRule="exact" w:before="0"/>
        <w:ind w:left="352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ACCESSIBILITY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527" w:right="0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1"/>
        <w:ind w:left="3527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Kurt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A.</w:t>
        </w:r>
        <w:r>
          <w:rPr>
            <w:b/>
            <w:spacing w:val="2"/>
            <w:sz w:val="16"/>
          </w:rPr>
          <w:t> </w:t>
        </w:r>
        <w:r>
          <w:rPr>
            <w:b/>
            <w:spacing w:val="-2"/>
            <w:sz w:val="16"/>
          </w:rPr>
          <w:t>Franklin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Walnut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Creek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510.622.7519</w:t>
      </w:r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kfranklin@fennemorel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line="188" w:lineRule="exact" w:before="103"/>
        <w:ind w:left="3343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ADA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AND</w:t>
        </w:r>
      </w:hyperlink>
    </w:p>
    <w:p>
      <w:pPr>
        <w:spacing w:line="188" w:lineRule="exact" w:before="0"/>
        <w:ind w:left="334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-140645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ACCESSIBILITY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343" w:right="439" w:firstLine="0"/>
        <w:jc w:val="left"/>
        <w:rPr>
          <w:sz w:val="16"/>
        </w:rPr>
      </w:pPr>
      <w:hyperlink r:id="rId10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343" w:right="0" w:firstLine="0"/>
        <w:jc w:val="left"/>
        <w:rPr>
          <w:b/>
          <w:sz w:val="16"/>
        </w:rPr>
      </w:pPr>
      <w:hyperlink r:id="rId20">
        <w:r>
          <w:rPr>
            <w:b/>
            <w:sz w:val="16"/>
          </w:rPr>
          <w:t>David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Goldman</w:t>
        </w:r>
      </w:hyperlink>
    </w:p>
    <w:p>
      <w:pPr>
        <w:spacing w:line="142" w:lineRule="exact" w:before="0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43" w:right="0" w:firstLine="0"/>
        <w:jc w:val="left"/>
        <w:rPr>
          <w:b/>
          <w:sz w:val="12"/>
        </w:rPr>
      </w:pPr>
      <w:hyperlink r:id="rId21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7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343" w:right="439" w:firstLine="0"/>
        <w:jc w:val="left"/>
        <w:rPr>
          <w:sz w:val="12"/>
        </w:rPr>
      </w:pPr>
      <w:hyperlink r:id="rId22">
        <w:r>
          <w:rPr>
            <w:color w:val="002E6B"/>
            <w:spacing w:val="-2"/>
            <w:sz w:val="12"/>
            <w:u w:val="single" w:color="002E6B"/>
          </w:rPr>
          <w:t>dgoldman@fennemor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2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pStyle w:val="BodyText"/>
        <w:ind w:left="0"/>
        <w:rPr>
          <w:sz w:val="12"/>
        </w:rPr>
      </w:pPr>
    </w:p>
    <w:p>
      <w:pPr>
        <w:pStyle w:val="BodyText"/>
        <w:spacing w:before="104"/>
        <w:ind w:left="0"/>
        <w:rPr>
          <w:sz w:val="12"/>
        </w:rPr>
      </w:pPr>
    </w:p>
    <w:p>
      <w:pPr>
        <w:spacing w:line="188" w:lineRule="exact" w:before="0"/>
        <w:ind w:left="334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4274415</wp:posOffset>
            </wp:positionH>
            <wp:positionV relativeFrom="paragraph">
              <wp:posOffset>-21675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ADA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AND</w:t>
        </w:r>
      </w:hyperlink>
    </w:p>
    <w:p>
      <w:pPr>
        <w:spacing w:line="188" w:lineRule="exact" w:before="0"/>
        <w:ind w:left="3343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ACCESSIBILITY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343" w:right="439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1"/>
        <w:ind w:left="3343" w:right="0" w:firstLine="0"/>
        <w:jc w:val="left"/>
        <w:rPr>
          <w:b/>
          <w:sz w:val="16"/>
        </w:rPr>
      </w:pPr>
      <w:hyperlink r:id="rId24">
        <w:r>
          <w:rPr>
            <w:b/>
            <w:sz w:val="16"/>
          </w:rPr>
          <w:t>Rachelle</w:t>
        </w:r>
        <w:r>
          <w:rPr>
            <w:b/>
            <w:spacing w:val="6"/>
            <w:sz w:val="16"/>
          </w:rPr>
          <w:t> </w:t>
        </w:r>
        <w:r>
          <w:rPr>
            <w:b/>
            <w:spacing w:val="-2"/>
            <w:sz w:val="16"/>
          </w:rPr>
          <w:t>Golden</w:t>
        </w:r>
      </w:hyperlink>
    </w:p>
    <w:p>
      <w:pPr>
        <w:spacing w:line="142" w:lineRule="exact" w:before="0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43" w:right="0" w:firstLine="0"/>
        <w:jc w:val="left"/>
        <w:rPr>
          <w:b/>
          <w:sz w:val="12"/>
        </w:rPr>
      </w:pPr>
      <w:hyperlink r:id="rId25">
        <w:r>
          <w:rPr>
            <w:b/>
            <w:spacing w:val="-2"/>
            <w:sz w:val="12"/>
          </w:rPr>
          <w:t>Fresno</w:t>
        </w:r>
      </w:hyperlink>
    </w:p>
    <w:p>
      <w:pPr>
        <w:spacing w:before="16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559.446.3256</w:t>
      </w:r>
    </w:p>
    <w:p>
      <w:pPr>
        <w:spacing w:before="15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6"/>
        <w:ind w:left="3343" w:right="5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5884033</wp:posOffset>
                </wp:positionH>
                <wp:positionV relativeFrom="paragraph">
                  <wp:posOffset>92172</wp:posOffset>
                </wp:positionV>
                <wp:extent cx="22860" cy="571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86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715">
                              <a:moveTo>
                                <a:pt x="22785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22785" y="0"/>
                              </a:lnTo>
                              <a:lnTo>
                                <a:pt x="22785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E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3.309692pt;margin-top:7.257667pt;width:1.794168pt;height:.406875pt;mso-position-horizontal-relative:page;mso-position-vertical-relative:paragraph;z-index:15731200" id="docshape5" filled="true" fillcolor="#002e6b" stroked="false">
                <v:fill type="solid"/>
                <w10:wrap type="none"/>
              </v:rect>
            </w:pict>
          </mc:Fallback>
        </mc:AlternateContent>
      </w:r>
      <w:hyperlink r:id="rId26">
        <w:r>
          <w:rPr>
            <w:color w:val="002E6B"/>
            <w:spacing w:val="-2"/>
            <w:sz w:val="12"/>
          </w:rPr>
          <w:t>rg</w:t>
        </w:r>
        <w:r>
          <w:rPr>
            <w:color w:val="002E6B"/>
            <w:spacing w:val="-2"/>
            <w:sz w:val="12"/>
            <w:u w:val="single" w:color="002E6B"/>
          </w:rPr>
          <w:t>olden@fennemorela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6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04" w:space="40"/>
            <w:col w:w="5236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INTRODUCTION</w:t>
      </w:r>
    </w:p>
    <w:p>
      <w:pPr>
        <w:pStyle w:val="BodyText"/>
        <w:spacing w:line="295" w:lineRule="auto" w:before="147"/>
        <w:ind w:right="555"/>
      </w:pPr>
      <w:r>
        <w:rPr>
          <w:color w:val="6E6158"/>
        </w:rPr>
        <w:t>Businesses turn to Fennemore when they need clear, practical solutions for guidance with the</w:t>
      </w:r>
      <w:r>
        <w:rPr>
          <w:color w:val="6E6158"/>
          <w:spacing w:val="40"/>
        </w:rPr>
        <w:t> </w:t>
      </w:r>
      <w:r>
        <w:rPr>
          <w:color w:val="6E6158"/>
        </w:rPr>
        <w:t>Americans with Disabilities Act (ADA), the Fair Housing Act (FHA), and related accessibility laws.</w:t>
      </w:r>
      <w:r>
        <w:rPr>
          <w:color w:val="6E6158"/>
          <w:spacing w:val="80"/>
        </w:rPr>
        <w:t> </w:t>
      </w:r>
      <w:r>
        <w:rPr>
          <w:color w:val="6E6158"/>
        </w:rPr>
        <w:t>Our attorneys advise educational institutions, healthcare systems, developers, retailers, </w:t>
      </w:r>
      <w:r>
        <w:rPr>
          <w:color w:val="6E6158"/>
        </w:rPr>
        <w:t>hospitality</w:t>
      </w:r>
      <w:r>
        <w:rPr>
          <w:color w:val="6E6158"/>
          <w:spacing w:val="40"/>
        </w:rPr>
        <w:t> </w:t>
      </w:r>
      <w:r>
        <w:rPr>
          <w:color w:val="6E6158"/>
        </w:rPr>
        <w:t>groups,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public</w:t>
      </w:r>
      <w:r>
        <w:rPr>
          <w:color w:val="6E6158"/>
          <w:spacing w:val="27"/>
        </w:rPr>
        <w:t> </w:t>
      </w:r>
      <w:r>
        <w:rPr>
          <w:color w:val="6E6158"/>
        </w:rPr>
        <w:t>agencies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how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design,</w:t>
      </w:r>
      <w:r>
        <w:rPr>
          <w:color w:val="6E6158"/>
          <w:spacing w:val="27"/>
        </w:rPr>
        <w:t> </w:t>
      </w:r>
      <w:r>
        <w:rPr>
          <w:color w:val="6E6158"/>
        </w:rPr>
        <w:t>build,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operate</w:t>
      </w:r>
      <w:r>
        <w:rPr>
          <w:color w:val="6E6158"/>
          <w:spacing w:val="27"/>
        </w:rPr>
        <w:t> </w:t>
      </w:r>
      <w:r>
        <w:rPr>
          <w:color w:val="6E6158"/>
        </w:rPr>
        <w:t>spaces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programs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</w:p>
    <w:p>
      <w:pPr>
        <w:pStyle w:val="BodyText"/>
        <w:spacing w:before="1"/>
      </w:pPr>
      <w:r>
        <w:rPr>
          <w:color w:val="6E6158"/>
        </w:rPr>
        <w:t>meet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requirements</w:t>
      </w:r>
      <w:r>
        <w:rPr>
          <w:color w:val="6E6158"/>
          <w:spacing w:val="14"/>
        </w:rPr>
        <w:t> </w:t>
      </w:r>
      <w:r>
        <w:rPr>
          <w:color w:val="6E6158"/>
        </w:rPr>
        <w:t>while</w:t>
      </w:r>
      <w:r>
        <w:rPr>
          <w:color w:val="6E6158"/>
          <w:spacing w:val="15"/>
        </w:rPr>
        <w:t> </w:t>
      </w:r>
      <w:r>
        <w:rPr>
          <w:color w:val="6E6158"/>
        </w:rPr>
        <w:t>promoting</w:t>
      </w:r>
      <w:r>
        <w:rPr>
          <w:color w:val="6E6158"/>
          <w:spacing w:val="14"/>
        </w:rPr>
        <w:t> </w:t>
      </w:r>
      <w:r>
        <w:rPr>
          <w:color w:val="6E6158"/>
        </w:rPr>
        <w:t>inclusion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usability.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45"/>
      </w:pPr>
      <w:r>
        <w:rPr>
          <w:color w:val="6E6158"/>
        </w:rPr>
        <w:t>We counsel clients on every aspect of accessibility, from facility design and construction</w:t>
      </w:r>
      <w:r>
        <w:rPr>
          <w:color w:val="6E6158"/>
          <w:spacing w:val="80"/>
        </w:rPr>
        <w:t> </w:t>
      </w:r>
      <w:r>
        <w:rPr>
          <w:color w:val="6E6158"/>
        </w:rPr>
        <w:t>standards to digital accessibility, policy development, and reasonable accommodations. Our</w:t>
      </w:r>
      <w:r>
        <w:rPr>
          <w:color w:val="6E6158"/>
          <w:spacing w:val="40"/>
        </w:rPr>
        <w:t> </w:t>
      </w:r>
      <w:r>
        <w:rPr>
          <w:color w:val="6E6158"/>
        </w:rPr>
        <w:t>attorneys provide proactive guidance to prevent compliance issues and defend clients in</w:t>
      </w:r>
      <w:r>
        <w:rPr>
          <w:color w:val="6E6158"/>
          <w:spacing w:val="40"/>
        </w:rPr>
        <w:t> </w:t>
      </w:r>
      <w:r>
        <w:rPr>
          <w:color w:val="6E6158"/>
        </w:rPr>
        <w:t>government investigations and accessibility litigation nationwide, from offices in Phoenix, </w:t>
      </w:r>
      <w:r>
        <w:rPr>
          <w:color w:val="6E6158"/>
        </w:rPr>
        <w:t>Fresno,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San</w:t>
      </w:r>
      <w:r>
        <w:rPr>
          <w:color w:val="6E6158"/>
          <w:spacing w:val="26"/>
        </w:rPr>
        <w:t> </w:t>
      </w:r>
      <w:r>
        <w:rPr>
          <w:color w:val="6E6158"/>
        </w:rPr>
        <w:t>Francisco</w:t>
      </w:r>
      <w:r>
        <w:rPr>
          <w:color w:val="6E6158"/>
          <w:spacing w:val="26"/>
        </w:rPr>
        <w:t> </w:t>
      </w:r>
      <w:r>
        <w:rPr>
          <w:color w:val="6E6158"/>
        </w:rPr>
        <w:t>Bay</w:t>
      </w:r>
      <w:r>
        <w:rPr>
          <w:color w:val="6E6158"/>
          <w:spacing w:val="26"/>
        </w:rPr>
        <w:t> </w:t>
      </w:r>
      <w:r>
        <w:rPr>
          <w:color w:val="6E6158"/>
        </w:rPr>
        <w:t>Area.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practical</w:t>
      </w:r>
      <w:r>
        <w:rPr>
          <w:color w:val="6E6158"/>
          <w:spacing w:val="26"/>
        </w:rPr>
        <w:t> </w:t>
      </w:r>
      <w:r>
        <w:rPr>
          <w:color w:val="6E6158"/>
        </w:rPr>
        <w:t>insight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deep</w:t>
      </w:r>
      <w:r>
        <w:rPr>
          <w:color w:val="6E6158"/>
          <w:spacing w:val="26"/>
        </w:rPr>
        <w:t> </w:t>
      </w:r>
      <w:r>
        <w:rPr>
          <w:color w:val="6E6158"/>
        </w:rPr>
        <w:t>understanding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both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767"/>
      </w:pPr>
      <w:r>
        <w:rPr>
          <w:color w:val="6E6158"/>
        </w:rPr>
        <w:t>and operations, we help organizations achieve meaningful access and </w:t>
      </w:r>
      <w:r>
        <w:rPr>
          <w:color w:val="6E6158"/>
        </w:rPr>
        <w:t>welcoming </w:t>
      </w:r>
      <w:r>
        <w:rPr>
          <w:color w:val="6E6158"/>
          <w:spacing w:val="-2"/>
        </w:rPr>
        <w:t>environments.</w:t>
      </w:r>
    </w:p>
    <w:p>
      <w:pPr>
        <w:pStyle w:val="BodyText"/>
        <w:spacing w:line="292" w:lineRule="auto" w:before="205"/>
        <w:ind w:right="545"/>
      </w:pPr>
      <w:r>
        <w:rPr>
          <w:color w:val="6E6158"/>
        </w:rPr>
        <w:t>Fennemore’s attorneys are trusted advocates in even the most complex accessibility cases.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is</w:t>
      </w:r>
      <w:r>
        <w:rPr>
          <w:color w:val="6E6158"/>
          <w:spacing w:val="38"/>
        </w:rPr>
        <w:t> </w:t>
      </w:r>
      <w:r>
        <w:rPr>
          <w:color w:val="6E6158"/>
        </w:rPr>
        <w:t>built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collaboration,</w:t>
      </w:r>
      <w:r>
        <w:rPr>
          <w:color w:val="6E6158"/>
          <w:spacing w:val="38"/>
        </w:rPr>
        <w:t> </w:t>
      </w:r>
      <w:r>
        <w:rPr>
          <w:color w:val="6E6158"/>
        </w:rPr>
        <w:t>clear</w:t>
      </w:r>
      <w:r>
        <w:rPr>
          <w:color w:val="6E6158"/>
          <w:spacing w:val="38"/>
        </w:rPr>
        <w:t> </w:t>
      </w:r>
      <w:r>
        <w:rPr>
          <w:color w:val="6E6158"/>
        </w:rPr>
        <w:t>communication,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deep</w:t>
      </w:r>
      <w:r>
        <w:rPr>
          <w:color w:val="6E6158"/>
          <w:spacing w:val="38"/>
        </w:rPr>
        <w:t> </w:t>
      </w:r>
      <w:r>
        <w:rPr>
          <w:color w:val="6E6158"/>
        </w:rPr>
        <w:t>subject-matter</w:t>
      </w:r>
    </w:p>
    <w:p>
      <w:pPr>
        <w:pStyle w:val="BodyText"/>
        <w:spacing w:before="1"/>
      </w:pPr>
      <w:r>
        <w:rPr>
          <w:color w:val="6E6158"/>
        </w:rPr>
        <w:t>knowledge,</w:t>
      </w:r>
      <w:r>
        <w:rPr>
          <w:color w:val="6E6158"/>
          <w:spacing w:val="13"/>
        </w:rPr>
        <w:t> </w:t>
      </w:r>
      <w:r>
        <w:rPr>
          <w:color w:val="6E6158"/>
        </w:rPr>
        <w:t>qualities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have</w:t>
      </w:r>
      <w:r>
        <w:rPr>
          <w:color w:val="6E6158"/>
          <w:spacing w:val="13"/>
        </w:rPr>
        <w:t> </w:t>
      </w:r>
      <w:r>
        <w:rPr>
          <w:color w:val="6E6158"/>
        </w:rPr>
        <w:t>earned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team</w:t>
      </w:r>
      <w:r>
        <w:rPr>
          <w:color w:val="6E6158"/>
          <w:spacing w:val="14"/>
        </w:rPr>
        <w:t> </w:t>
      </w:r>
      <w:r>
        <w:rPr>
          <w:color w:val="6E6158"/>
        </w:rPr>
        <w:t>recognition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clients,</w:t>
      </w:r>
      <w:r>
        <w:rPr>
          <w:color w:val="6E6158"/>
          <w:spacing w:val="13"/>
        </w:rPr>
        <w:t> </w:t>
      </w:r>
      <w:r>
        <w:rPr>
          <w:color w:val="6E6158"/>
        </w:rPr>
        <w:t>peers,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line="302" w:lineRule="auto" w:before="52"/>
        <w:ind w:right="545"/>
      </w:pPr>
      <w:r>
        <w:rPr>
          <w:color w:val="6E6158"/>
        </w:rPr>
        <w:t>alike. Whether defending against an ADA lawsuit, or improving digital accessibility,</w:t>
      </w:r>
      <w:r>
        <w:rPr>
          <w:color w:val="6E6158"/>
          <w:spacing w:val="80"/>
        </w:rPr>
        <w:t> </w:t>
      </w:r>
      <w:r>
        <w:rPr>
          <w:color w:val="6E6158"/>
        </w:rPr>
        <w:t>we </w:t>
      </w:r>
      <w:r>
        <w:rPr>
          <w:color w:val="6E6158"/>
        </w:rPr>
        <w:t>deliver clear guidance, practical solutions, and responsive support.</w:t>
      </w:r>
    </w:p>
    <w:p>
      <w:pPr>
        <w:pStyle w:val="Heading1"/>
        <w:spacing w:before="152"/>
      </w:pPr>
      <w:r>
        <w:rPr>
          <w:color w:val="FF8100"/>
        </w:rPr>
        <w:t>ADA</w:t>
      </w:r>
      <w:r>
        <w:rPr>
          <w:color w:val="FF8100"/>
          <w:spacing w:val="9"/>
        </w:rPr>
        <w:t> </w:t>
      </w:r>
      <w:r>
        <w:rPr>
          <w:color w:val="FF8100"/>
        </w:rPr>
        <w:t>ACCESSIBILITY</w:t>
      </w:r>
      <w:r>
        <w:rPr>
          <w:color w:val="FF8100"/>
          <w:spacing w:val="9"/>
        </w:rPr>
        <w:t> </w:t>
      </w:r>
      <w:r>
        <w:rPr>
          <w:color w:val="FF8100"/>
        </w:rPr>
        <w:t>FOR</w:t>
      </w:r>
      <w:r>
        <w:rPr>
          <w:color w:val="FF8100"/>
          <w:spacing w:val="10"/>
        </w:rPr>
        <w:t> </w:t>
      </w:r>
      <w:r>
        <w:rPr>
          <w:color w:val="FF8100"/>
        </w:rPr>
        <w:t>HOUSING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</w:rPr>
        <w:t>PUBLIC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SPACES</w:t>
      </w:r>
    </w:p>
    <w:p>
      <w:pPr>
        <w:pStyle w:val="BodyText"/>
        <w:spacing w:line="292" w:lineRule="auto" w:before="147"/>
        <w:ind w:right="528"/>
      </w:pPr>
      <w:r>
        <w:rPr>
          <w:color w:val="6E6158"/>
        </w:rPr>
        <w:t>Fennemore’s ADA and Accessibility attorneys counsel public entities, developers, architects,</w:t>
      </w:r>
      <w:r>
        <w:rPr>
          <w:color w:val="6E6158"/>
          <w:spacing w:val="40"/>
        </w:rPr>
        <w:t> </w:t>
      </w:r>
      <w:r>
        <w:rPr>
          <w:color w:val="6E6158"/>
        </w:rPr>
        <w:t>property owners, and operators in meeting the standards for the 2010 ADA Standards for</w:t>
      </w:r>
      <w:r>
        <w:rPr>
          <w:color w:val="6E6158"/>
          <w:spacing w:val="40"/>
        </w:rPr>
        <w:t> </w:t>
      </w:r>
      <w:r>
        <w:rPr>
          <w:color w:val="6E6158"/>
        </w:rPr>
        <w:t>Accessible</w:t>
      </w:r>
      <w:r>
        <w:rPr>
          <w:color w:val="6E6158"/>
          <w:spacing w:val="17"/>
        </w:rPr>
        <w:t> </w:t>
      </w:r>
      <w:r>
        <w:rPr>
          <w:color w:val="6E6158"/>
        </w:rPr>
        <w:t>Design,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Fair</w:t>
      </w:r>
      <w:r>
        <w:rPr>
          <w:color w:val="6E6158"/>
          <w:spacing w:val="17"/>
        </w:rPr>
        <w:t> </w:t>
      </w:r>
      <w:r>
        <w:rPr>
          <w:color w:val="6E6158"/>
        </w:rPr>
        <w:t>Housing</w:t>
      </w:r>
      <w:r>
        <w:rPr>
          <w:color w:val="6E6158"/>
          <w:spacing w:val="17"/>
        </w:rPr>
        <w:t> </w:t>
      </w:r>
      <w:r>
        <w:rPr>
          <w:color w:val="6E6158"/>
        </w:rPr>
        <w:t>Act,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building</w:t>
      </w:r>
      <w:r>
        <w:rPr>
          <w:color w:val="6E6158"/>
          <w:spacing w:val="17"/>
        </w:rPr>
        <w:t> </w:t>
      </w:r>
      <w:r>
        <w:rPr>
          <w:color w:val="6E6158"/>
        </w:rPr>
        <w:t>codes,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local</w:t>
      </w:r>
      <w:r>
        <w:rPr>
          <w:color w:val="6E6158"/>
          <w:spacing w:val="17"/>
        </w:rPr>
        <w:t> </w:t>
      </w:r>
      <w:r>
        <w:rPr>
          <w:color w:val="6E6158"/>
        </w:rPr>
        <w:t>accessibility</w:t>
      </w:r>
      <w:r>
        <w:rPr>
          <w:color w:val="6E6158"/>
          <w:spacing w:val="17"/>
        </w:rPr>
        <w:t> </w:t>
      </w:r>
      <w:r>
        <w:rPr>
          <w:color w:val="6E6158"/>
        </w:rPr>
        <w:t>ordinances.</w:t>
      </w:r>
    </w:p>
    <w:p>
      <w:pPr>
        <w:pStyle w:val="BodyText"/>
        <w:spacing w:line="295" w:lineRule="auto" w:before="205"/>
        <w:ind w:right="598"/>
      </w:pPr>
      <w:r>
        <w:rPr>
          <w:color w:val="6E6158"/>
        </w:rPr>
        <w:t>Our</w:t>
      </w:r>
      <w:r>
        <w:rPr>
          <w:color w:val="6E6158"/>
          <w:spacing w:val="39"/>
        </w:rPr>
        <w:t> </w:t>
      </w:r>
      <w:r>
        <w:rPr>
          <w:color w:val="6E6158"/>
        </w:rPr>
        <w:t>attorneys</w:t>
      </w:r>
      <w:r>
        <w:rPr>
          <w:color w:val="6E6158"/>
          <w:spacing w:val="39"/>
        </w:rPr>
        <w:t> </w:t>
      </w:r>
      <w:r>
        <w:rPr>
          <w:color w:val="6E6158"/>
        </w:rPr>
        <w:t>provide</w:t>
      </w:r>
      <w:r>
        <w:rPr>
          <w:color w:val="6E6158"/>
          <w:spacing w:val="39"/>
        </w:rPr>
        <w:t> </w:t>
      </w:r>
      <w:r>
        <w:rPr>
          <w:color w:val="6E6158"/>
        </w:rPr>
        <w:t>comprehensive</w:t>
      </w:r>
      <w:r>
        <w:rPr>
          <w:color w:val="6E6158"/>
          <w:spacing w:val="39"/>
        </w:rPr>
        <w:t> </w:t>
      </w:r>
      <w:r>
        <w:rPr>
          <w:color w:val="6E6158"/>
        </w:rPr>
        <w:t>guidance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every</w:t>
      </w:r>
      <w:r>
        <w:rPr>
          <w:color w:val="6E6158"/>
          <w:spacing w:val="39"/>
        </w:rPr>
        <w:t> </w:t>
      </w:r>
      <w:r>
        <w:rPr>
          <w:color w:val="6E6158"/>
        </w:rPr>
        <w:t>stage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design,</w:t>
      </w:r>
      <w:r>
        <w:rPr>
          <w:color w:val="6E6158"/>
          <w:spacing w:val="39"/>
        </w:rPr>
        <w:t> </w:t>
      </w:r>
      <w:r>
        <w:rPr>
          <w:color w:val="6E6158"/>
        </w:rPr>
        <w:t>construction, and facility management, and defense litigation. We conduct accessibility audits, plan </w:t>
      </w:r>
      <w:r>
        <w:rPr>
          <w:color w:val="6E6158"/>
        </w:rPr>
        <w:t>reviews,</w:t>
      </w:r>
      <w:r>
        <w:rPr>
          <w:color w:val="6E6158"/>
          <w:spacing w:val="40"/>
        </w:rPr>
        <w:t> </w:t>
      </w:r>
      <w:r>
        <w:rPr>
          <w:color w:val="6E6158"/>
        </w:rPr>
        <w:t>and assessments for new construction, alterations, and existing buildings, helping clients identify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resolve</w:t>
      </w:r>
      <w:r>
        <w:rPr>
          <w:color w:val="6E6158"/>
          <w:spacing w:val="25"/>
        </w:rPr>
        <w:t> </w:t>
      </w:r>
      <w:r>
        <w:rPr>
          <w:color w:val="6E6158"/>
        </w:rPr>
        <w:t>potential</w:t>
      </w:r>
      <w:r>
        <w:rPr>
          <w:color w:val="6E6158"/>
          <w:spacing w:val="25"/>
        </w:rPr>
        <w:t> </w:t>
      </w:r>
      <w:r>
        <w:rPr>
          <w:color w:val="6E6158"/>
        </w:rPr>
        <w:t>barriers</w:t>
      </w:r>
      <w:r>
        <w:rPr>
          <w:color w:val="6E6158"/>
          <w:spacing w:val="25"/>
        </w:rPr>
        <w:t> </w:t>
      </w:r>
      <w:r>
        <w:rPr>
          <w:color w:val="6E6158"/>
        </w:rPr>
        <w:t>before</w:t>
      </w:r>
      <w:r>
        <w:rPr>
          <w:color w:val="6E6158"/>
          <w:spacing w:val="25"/>
        </w:rPr>
        <w:t> </w:t>
      </w:r>
      <w:r>
        <w:rPr>
          <w:color w:val="6E6158"/>
        </w:rPr>
        <w:t>they</w:t>
      </w:r>
      <w:r>
        <w:rPr>
          <w:color w:val="6E6158"/>
          <w:spacing w:val="25"/>
        </w:rPr>
        <w:t> </w:t>
      </w:r>
      <w:r>
        <w:rPr>
          <w:color w:val="6E6158"/>
        </w:rPr>
        <w:t>become</w:t>
      </w:r>
      <w:r>
        <w:rPr>
          <w:color w:val="6E6158"/>
          <w:spacing w:val="25"/>
        </w:rPr>
        <w:t> </w:t>
      </w:r>
      <w:r>
        <w:rPr>
          <w:color w:val="6E6158"/>
        </w:rPr>
        <w:t>costly</w:t>
      </w:r>
      <w:r>
        <w:rPr>
          <w:color w:val="6E6158"/>
          <w:spacing w:val="25"/>
        </w:rPr>
        <w:t> </w:t>
      </w:r>
      <w:r>
        <w:rPr>
          <w:color w:val="6E6158"/>
        </w:rPr>
        <w:t>disputes.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stadiums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theaters to schools, hospitals, and multifamily housing, our work covers a wide range of industries and</w:t>
      </w:r>
      <w:r>
        <w:rPr>
          <w:color w:val="6E6158"/>
          <w:spacing w:val="40"/>
        </w:rPr>
        <w:t> </w:t>
      </w:r>
      <w:r>
        <w:rPr>
          <w:color w:val="6E6158"/>
        </w:rPr>
        <w:t>building types. Whether advising on accessible routes, restrooms, seating, or auxiliary aids,</w:t>
      </w:r>
      <w:r>
        <w:rPr>
          <w:color w:val="6E6158"/>
          <w:spacing w:val="40"/>
        </w:rPr>
        <w:t> </w:t>
      </w:r>
      <w:r>
        <w:rPr>
          <w:color w:val="6E6158"/>
        </w:rPr>
        <w:t>websites and mobile applications, we bring a practical understanding of how accessibility</w:t>
      </w:r>
      <w:r>
        <w:rPr>
          <w:color w:val="6E6158"/>
          <w:spacing w:val="40"/>
        </w:rPr>
        <w:t> </w:t>
      </w:r>
      <w:r>
        <w:rPr>
          <w:color w:val="6E6158"/>
        </w:rPr>
        <w:t>standards intersect with design and operational needs, helping clients achieve inclusive</w:t>
      </w:r>
      <w:r>
        <w:rPr>
          <w:color w:val="6E6158"/>
          <w:spacing w:val="40"/>
        </w:rPr>
        <w:t> </w:t>
      </w:r>
      <w:r>
        <w:rPr>
          <w:color w:val="6E6158"/>
        </w:rPr>
        <w:t>environments that serve everyone.</w:t>
      </w:r>
    </w:p>
    <w:p>
      <w:pPr>
        <w:pStyle w:val="Heading1"/>
        <w:spacing w:before="162"/>
      </w:pPr>
      <w:r>
        <w:rPr>
          <w:color w:val="FF8100"/>
        </w:rPr>
        <w:t>POLICY</w:t>
      </w:r>
      <w:r>
        <w:rPr>
          <w:color w:val="FF8100"/>
          <w:spacing w:val="7"/>
        </w:rPr>
        <w:t> </w:t>
      </w:r>
      <w:r>
        <w:rPr>
          <w:color w:val="FF8100"/>
        </w:rPr>
        <w:t>AND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ACCOMMODATIONS</w:t>
      </w:r>
    </w:p>
    <w:p>
      <w:pPr>
        <w:pStyle w:val="BodyText"/>
        <w:spacing w:before="147"/>
      </w:pPr>
      <w:r>
        <w:rPr>
          <w:color w:val="6E6158"/>
        </w:rPr>
        <w:t>Accessibility</w:t>
      </w:r>
      <w:r>
        <w:rPr>
          <w:color w:val="6E6158"/>
          <w:spacing w:val="16"/>
        </w:rPr>
        <w:t> </w:t>
      </w:r>
      <w:r>
        <w:rPr>
          <w:color w:val="6E6158"/>
        </w:rPr>
        <w:t>extends</w:t>
      </w:r>
      <w:r>
        <w:rPr>
          <w:color w:val="6E6158"/>
          <w:spacing w:val="16"/>
        </w:rPr>
        <w:t> </w:t>
      </w:r>
      <w:r>
        <w:rPr>
          <w:color w:val="6E6158"/>
        </w:rPr>
        <w:t>beyond</w:t>
      </w:r>
      <w:r>
        <w:rPr>
          <w:color w:val="6E6158"/>
          <w:spacing w:val="16"/>
        </w:rPr>
        <w:t> </w:t>
      </w:r>
      <w:r>
        <w:rPr>
          <w:color w:val="6E6158"/>
        </w:rPr>
        <w:t>physical</w:t>
      </w:r>
      <w:r>
        <w:rPr>
          <w:color w:val="6E6158"/>
          <w:spacing w:val="17"/>
        </w:rPr>
        <w:t> </w:t>
      </w:r>
      <w:r>
        <w:rPr>
          <w:color w:val="6E6158"/>
        </w:rPr>
        <w:t>spaces—it</w:t>
      </w:r>
      <w:r>
        <w:rPr>
          <w:color w:val="6E6158"/>
          <w:spacing w:val="16"/>
        </w:rPr>
        <w:t> </w:t>
      </w:r>
      <w:r>
        <w:rPr>
          <w:color w:val="6E6158"/>
        </w:rPr>
        <w:t>also</w:t>
      </w:r>
      <w:r>
        <w:rPr>
          <w:color w:val="6E6158"/>
          <w:spacing w:val="16"/>
        </w:rPr>
        <w:t> </w:t>
      </w:r>
      <w:r>
        <w:rPr>
          <w:color w:val="6E6158"/>
        </w:rPr>
        <w:t>shapes</w:t>
      </w:r>
      <w:r>
        <w:rPr>
          <w:color w:val="6E6158"/>
          <w:spacing w:val="17"/>
        </w:rPr>
        <w:t> </w:t>
      </w:r>
      <w:r>
        <w:rPr>
          <w:color w:val="6E6158"/>
        </w:rPr>
        <w:t>how</w:t>
      </w:r>
      <w:r>
        <w:rPr>
          <w:color w:val="6E6158"/>
          <w:spacing w:val="16"/>
        </w:rPr>
        <w:t> </w:t>
      </w:r>
      <w:r>
        <w:rPr>
          <w:color w:val="6E6158"/>
        </w:rPr>
        <w:t>organizations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develop</w:t>
      </w:r>
    </w:p>
    <w:p>
      <w:pPr>
        <w:pStyle w:val="BodyText"/>
        <w:spacing w:line="292" w:lineRule="auto" w:before="60"/>
        <w:ind w:right="545"/>
      </w:pPr>
      <w:r>
        <w:rPr>
          <w:color w:val="6E6158"/>
        </w:rPr>
        <w:t>policies, deliver services, and respond to accommodation requests. Our team advises clients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federal,</w:t>
      </w:r>
      <w:r>
        <w:rPr>
          <w:color w:val="6E6158"/>
          <w:spacing w:val="40"/>
        </w:rPr>
        <w:t> </w:t>
      </w:r>
      <w:r>
        <w:rPr>
          <w:color w:val="6E6158"/>
        </w:rPr>
        <w:t>state,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local</w:t>
      </w:r>
      <w:r>
        <w:rPr>
          <w:color w:val="6E6158"/>
          <w:spacing w:val="40"/>
        </w:rPr>
        <w:t> </w:t>
      </w:r>
      <w:r>
        <w:rPr>
          <w:color w:val="6E6158"/>
        </w:rPr>
        <w:t>laws</w:t>
      </w:r>
      <w:r>
        <w:rPr>
          <w:color w:val="6E6158"/>
          <w:spacing w:val="40"/>
        </w:rPr>
        <w:t> </w:t>
      </w:r>
      <w:r>
        <w:rPr>
          <w:color w:val="6E6158"/>
        </w:rPr>
        <w:t>governing</w:t>
      </w:r>
      <w:r>
        <w:rPr>
          <w:color w:val="6E6158"/>
          <w:spacing w:val="40"/>
        </w:rPr>
        <w:t> </w:t>
      </w:r>
      <w:r>
        <w:rPr>
          <w:color w:val="6E6158"/>
        </w:rPr>
        <w:t>reasonable</w:t>
      </w:r>
      <w:r>
        <w:rPr>
          <w:color w:val="6E6158"/>
          <w:spacing w:val="40"/>
        </w:rPr>
        <w:t> </w:t>
      </w:r>
      <w:r>
        <w:rPr>
          <w:color w:val="6E6158"/>
        </w:rPr>
        <w:t>accommodations,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</w:p>
    <w:p>
      <w:pPr>
        <w:pStyle w:val="BodyText"/>
        <w:spacing w:line="297" w:lineRule="auto" w:before="1"/>
        <w:ind w:right="545"/>
      </w:pPr>
      <w:r>
        <w:rPr>
          <w:color w:val="6E6158"/>
        </w:rPr>
        <w:t>communication, and equal access. We help employers, educators, healthcare providers,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public entities create frameworks that meet legal obligations while supporting inclusion and</w:t>
      </w:r>
      <w:r>
        <w:rPr>
          <w:color w:val="6E6158"/>
          <w:spacing w:val="40"/>
        </w:rPr>
        <w:t> </w:t>
      </w:r>
      <w:r>
        <w:rPr>
          <w:color w:val="6E6158"/>
        </w:rPr>
        <w:t>operational efficiency.</w:t>
      </w:r>
    </w:p>
    <w:p>
      <w:pPr>
        <w:pStyle w:val="BodyText"/>
        <w:spacing w:line="295" w:lineRule="auto" w:before="191"/>
        <w:ind w:right="578"/>
      </w:pPr>
      <w:r>
        <w:rPr>
          <w:color w:val="6E6158"/>
        </w:rPr>
        <w:t>Our attorneys help clients develop and roll out effective policies by providing support at every</w:t>
      </w:r>
      <w:r>
        <w:rPr>
          <w:color w:val="6E6158"/>
          <w:spacing w:val="40"/>
        </w:rPr>
        <w:t> </w:t>
      </w:r>
      <w:r>
        <w:rPr>
          <w:color w:val="6E6158"/>
        </w:rPr>
        <w:t>stage—from establishing best practices for the interactive process and updating internal </w:t>
      </w:r>
      <w:r>
        <w:rPr>
          <w:color w:val="6E6158"/>
        </w:rPr>
        <w:t>policies</w:t>
      </w:r>
      <w:r>
        <w:rPr>
          <w:color w:val="6E6158"/>
          <w:spacing w:val="80"/>
        </w:rPr>
        <w:t> </w:t>
      </w:r>
      <w:r>
        <w:rPr>
          <w:color w:val="6E6158"/>
        </w:rPr>
        <w:t>to training staff and managing ongoing oversight of accommodation policies. We create</w:t>
      </w:r>
      <w:r>
        <w:rPr>
          <w:color w:val="6E6158"/>
          <w:spacing w:val="40"/>
        </w:rPr>
        <w:t> </w:t>
      </w:r>
      <w:r>
        <w:rPr>
          <w:color w:val="6E6158"/>
        </w:rPr>
        <w:t>straightforward</w:t>
      </w:r>
      <w:r>
        <w:rPr>
          <w:color w:val="6E6158"/>
          <w:spacing w:val="40"/>
        </w:rPr>
        <w:t> </w:t>
      </w:r>
      <w:r>
        <w:rPr>
          <w:color w:val="6E6158"/>
        </w:rPr>
        <w:t>procedures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handling</w:t>
      </w:r>
      <w:r>
        <w:rPr>
          <w:color w:val="6E6158"/>
          <w:spacing w:val="40"/>
        </w:rPr>
        <w:t> </w:t>
      </w:r>
      <w:r>
        <w:rPr>
          <w:color w:val="6E6158"/>
        </w:rPr>
        <w:t>accommodation</w:t>
      </w:r>
      <w:r>
        <w:rPr>
          <w:color w:val="6E6158"/>
          <w:spacing w:val="40"/>
        </w:rPr>
        <w:t> </w:t>
      </w:r>
      <w:r>
        <w:rPr>
          <w:color w:val="6E6158"/>
        </w:rPr>
        <w:t>requests,</w:t>
      </w:r>
      <w:r>
        <w:rPr>
          <w:color w:val="6E6158"/>
          <w:spacing w:val="40"/>
        </w:rPr>
        <w:t> </w:t>
      </w:r>
      <w:r>
        <w:rPr>
          <w:color w:val="6E6158"/>
        </w:rPr>
        <w:t>assessing</w:t>
      </w:r>
      <w:r>
        <w:rPr>
          <w:color w:val="6E6158"/>
          <w:spacing w:val="40"/>
        </w:rPr>
        <w:t> </w:t>
      </w:r>
      <w:r>
        <w:rPr>
          <w:color w:val="6E6158"/>
        </w:rPr>
        <w:t>potential accessibility</w:t>
      </w:r>
      <w:r>
        <w:rPr>
          <w:color w:val="6E6158"/>
          <w:spacing w:val="40"/>
        </w:rPr>
        <w:t> </w:t>
      </w:r>
      <w:r>
        <w:rPr>
          <w:color w:val="6E6158"/>
        </w:rPr>
        <w:t>impacts,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maintaining</w:t>
      </w:r>
      <w:r>
        <w:rPr>
          <w:color w:val="6E6158"/>
          <w:spacing w:val="40"/>
        </w:rPr>
        <w:t> </w:t>
      </w:r>
      <w:r>
        <w:rPr>
          <w:color w:val="6E6158"/>
        </w:rPr>
        <w:t>documentation</w:t>
      </w:r>
      <w:r>
        <w:rPr>
          <w:color w:val="6E6158"/>
          <w:spacing w:val="40"/>
        </w:rPr>
        <w:t>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supports</w:t>
      </w:r>
      <w:r>
        <w:rPr>
          <w:color w:val="6E6158"/>
          <w:spacing w:val="40"/>
        </w:rPr>
        <w:t> </w:t>
      </w:r>
      <w:r>
        <w:rPr>
          <w:color w:val="6E6158"/>
        </w:rPr>
        <w:t>well-reasoned,</w:t>
      </w:r>
      <w:r>
        <w:rPr>
          <w:color w:val="6E6158"/>
          <w:spacing w:val="40"/>
        </w:rPr>
        <w:t> </w:t>
      </w:r>
      <w:r>
        <w:rPr>
          <w:color w:val="6E6158"/>
        </w:rPr>
        <w:t>defensible</w:t>
      </w:r>
    </w:p>
    <w:p>
      <w:pPr>
        <w:pStyle w:val="BodyText"/>
        <w:spacing w:line="292" w:lineRule="auto"/>
        <w:ind w:right="545"/>
      </w:pPr>
      <w:r>
        <w:rPr>
          <w:color w:val="6E6158"/>
        </w:rPr>
        <w:t>decisions. With a practical and balanced approach, we help clients reduce risk while reinforcing</w:t>
      </w:r>
      <w:r>
        <w:rPr>
          <w:color w:val="6E6158"/>
          <w:spacing w:val="40"/>
        </w:rPr>
        <w:t> </w:t>
      </w:r>
      <w:r>
        <w:rPr>
          <w:color w:val="6E6158"/>
        </w:rPr>
        <w:t>their commitment to accessibility in both policy and day-to-day operations.</w:t>
      </w:r>
    </w:p>
    <w:p>
      <w:pPr>
        <w:pStyle w:val="Heading1"/>
        <w:spacing w:before="170"/>
      </w:pPr>
      <w:r>
        <w:rPr>
          <w:color w:val="FF8100"/>
        </w:rPr>
        <w:t>DIGITAL</w:t>
      </w:r>
      <w:r>
        <w:rPr>
          <w:color w:val="FF8100"/>
          <w:spacing w:val="7"/>
        </w:rPr>
        <w:t> </w:t>
      </w:r>
      <w:r>
        <w:rPr>
          <w:color w:val="FF8100"/>
        </w:rPr>
        <w:t>AND</w:t>
      </w:r>
      <w:r>
        <w:rPr>
          <w:color w:val="FF8100"/>
          <w:spacing w:val="7"/>
        </w:rPr>
        <w:t> </w:t>
      </w:r>
      <w:r>
        <w:rPr>
          <w:color w:val="FF8100"/>
        </w:rPr>
        <w:t>WEB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ACCESSIBILITY</w:t>
      </w:r>
    </w:p>
    <w:p>
      <w:pPr>
        <w:pStyle w:val="BodyText"/>
        <w:spacing w:line="295" w:lineRule="auto" w:before="147"/>
        <w:ind w:right="555"/>
      </w:pPr>
      <w:r>
        <w:rPr>
          <w:color w:val="6E6158"/>
        </w:rPr>
        <w:t>Our attorneys help clients understand and meet the rapidly evolving guidelines for digital</w:t>
      </w:r>
      <w:r>
        <w:rPr>
          <w:color w:val="6E6158"/>
          <w:spacing w:val="40"/>
        </w:rPr>
        <w:t> </w:t>
      </w:r>
      <w:r>
        <w:rPr>
          <w:color w:val="6E6158"/>
        </w:rPr>
        <w:t>accessibility under the ADA, Section 508 of the Rehabilitation Act, and the Web Content Accessibility Guidelines (WCAG). At Fennemore, we recognize that digital accessibility is not </w:t>
      </w:r>
      <w:r>
        <w:rPr>
          <w:color w:val="6E6158"/>
        </w:rPr>
        <w:t>just</w:t>
      </w:r>
      <w:r>
        <w:rPr>
          <w:color w:val="6E6158"/>
          <w:spacing w:val="40"/>
        </w:rPr>
        <w:t> </w:t>
      </w:r>
      <w:r>
        <w:rPr>
          <w:color w:val="6E6158"/>
        </w:rPr>
        <w:t>about</w:t>
      </w:r>
      <w:r>
        <w:rPr>
          <w:color w:val="6E6158"/>
          <w:spacing w:val="31"/>
        </w:rPr>
        <w:t> </w:t>
      </w:r>
      <w:r>
        <w:rPr>
          <w:color w:val="6E6158"/>
        </w:rPr>
        <w:t>WCAG</w:t>
      </w:r>
      <w:r>
        <w:rPr>
          <w:color w:val="6E6158"/>
          <w:spacing w:val="31"/>
        </w:rPr>
        <w:t> </w:t>
      </w:r>
      <w:r>
        <w:rPr>
          <w:color w:val="6E6158"/>
        </w:rPr>
        <w:t>conformity;</w:t>
      </w:r>
      <w:r>
        <w:rPr>
          <w:color w:val="6E6158"/>
          <w:spacing w:val="31"/>
        </w:rPr>
        <w:t> </w:t>
      </w:r>
      <w:r>
        <w:rPr>
          <w:color w:val="6E6158"/>
        </w:rPr>
        <w:t>it’s</w:t>
      </w:r>
      <w:r>
        <w:rPr>
          <w:color w:val="6E6158"/>
          <w:spacing w:val="31"/>
        </w:rPr>
        <w:t> </w:t>
      </w:r>
      <w:r>
        <w:rPr>
          <w:color w:val="6E6158"/>
        </w:rPr>
        <w:t>about</w:t>
      </w:r>
      <w:r>
        <w:rPr>
          <w:color w:val="6E6158"/>
          <w:spacing w:val="31"/>
        </w:rPr>
        <w:t> </w:t>
      </w:r>
      <w:r>
        <w:rPr>
          <w:color w:val="6E6158"/>
        </w:rPr>
        <w:t>connection.</w:t>
      </w:r>
      <w:r>
        <w:rPr>
          <w:color w:val="6E6158"/>
          <w:spacing w:val="31"/>
        </w:rPr>
        <w:t> </w:t>
      </w:r>
      <w:r>
        <w:rPr>
          <w:color w:val="6E6158"/>
        </w:rPr>
        <w:t>While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client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creating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online</w:t>
      </w:r>
    </w:p>
    <w:p>
      <w:pPr>
        <w:pStyle w:val="BodyText"/>
        <w:spacing w:line="292" w:lineRule="auto" w:before="1"/>
        <w:ind w:right="555"/>
      </w:pPr>
      <w:r>
        <w:rPr>
          <w:color w:val="6E6158"/>
        </w:rPr>
        <w:t>experience, Fennemore works with them to help ensure compliance with the laws, defend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lawsuits,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offer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advice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help</w:t>
      </w:r>
      <w:r>
        <w:rPr>
          <w:color w:val="6E6158"/>
          <w:spacing w:val="31"/>
        </w:rPr>
        <w:t> </w:t>
      </w:r>
      <w:r>
        <w:rPr>
          <w:color w:val="6E6158"/>
        </w:rPr>
        <w:t>businesses</w:t>
      </w:r>
      <w:r>
        <w:rPr>
          <w:color w:val="6E6158"/>
          <w:spacing w:val="31"/>
        </w:rPr>
        <w:t> </w:t>
      </w:r>
      <w:r>
        <w:rPr>
          <w:color w:val="6E6158"/>
        </w:rPr>
        <w:t>understand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comply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</w:p>
    <w:p>
      <w:pPr>
        <w:pStyle w:val="BodyText"/>
        <w:spacing w:line="302" w:lineRule="auto" w:before="1"/>
        <w:ind w:right="555"/>
      </w:pPr>
      <w:r>
        <w:rPr>
          <w:color w:val="6E6158"/>
        </w:rPr>
        <w:t>regulations/requirements. By combining legal insight, technical fluency, and practical </w:t>
      </w:r>
      <w:r>
        <w:rPr>
          <w:color w:val="6E6158"/>
        </w:rPr>
        <w:t>guidance,</w:t>
      </w:r>
      <w:r>
        <w:rPr>
          <w:color w:val="6E6158"/>
          <w:spacing w:val="40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ensure</w:t>
      </w:r>
      <w:r>
        <w:rPr>
          <w:color w:val="6E6158"/>
          <w:spacing w:val="29"/>
        </w:rPr>
        <w:t> </w:t>
      </w:r>
      <w:r>
        <w:rPr>
          <w:color w:val="6E6158"/>
        </w:rPr>
        <w:t>accessibility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physical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digital</w:t>
      </w:r>
      <w:r>
        <w:rPr>
          <w:color w:val="6E6158"/>
          <w:spacing w:val="29"/>
        </w:rPr>
        <w:t> </w:t>
      </w:r>
      <w:r>
        <w:rPr>
          <w:color w:val="6E6158"/>
        </w:rPr>
        <w:t>spaces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confidence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integrity.</w:t>
      </w:r>
    </w:p>
    <w:p>
      <w:pPr>
        <w:pStyle w:val="BodyText"/>
        <w:spacing w:after="0" w:line="224" w:lineRule="exact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7" w:lineRule="auto" w:before="83"/>
        <w:ind w:right="767"/>
      </w:pPr>
      <w:r>
        <w:rPr>
          <w:color w:val="6E6158"/>
        </w:rPr>
        <w:t>We represent educational and healthcare institutions, developers, retailers, hospitality </w:t>
      </w:r>
      <w:r>
        <w:rPr>
          <w:color w:val="6E6158"/>
        </w:rPr>
        <w:t>groups, and public agencies who design and maintain digital environments that are usable and</w:t>
      </w:r>
      <w:r>
        <w:rPr>
          <w:color w:val="6E6158"/>
          <w:spacing w:val="40"/>
        </w:rPr>
        <w:t> </w:t>
      </w:r>
      <w:r>
        <w:rPr>
          <w:color w:val="6E6158"/>
        </w:rPr>
        <w:t>inclusive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everyone.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consultants</w:t>
      </w:r>
      <w:r>
        <w:rPr>
          <w:color w:val="6E6158"/>
          <w:spacing w:val="26"/>
        </w:rPr>
        <w:t> </w:t>
      </w:r>
      <w:r>
        <w:rPr>
          <w:color w:val="6E6158"/>
        </w:rPr>
        <w:t>partner</w:t>
      </w:r>
      <w:r>
        <w:rPr>
          <w:color w:val="6E6158"/>
          <w:spacing w:val="26"/>
        </w:rPr>
        <w:t> </w:t>
      </w:r>
      <w:r>
        <w:rPr>
          <w:color w:val="6E6158"/>
        </w:rPr>
        <w:t>closely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web</w:t>
      </w:r>
      <w:r>
        <w:rPr>
          <w:color w:val="6E6158"/>
          <w:spacing w:val="26"/>
        </w:rPr>
        <w:t> </w:t>
      </w:r>
      <w:r>
        <w:rPr>
          <w:color w:val="6E6158"/>
        </w:rPr>
        <w:t>developers,</w:t>
      </w:r>
      <w:r>
        <w:rPr>
          <w:color w:val="6E6158"/>
          <w:spacing w:val="26"/>
        </w:rPr>
        <w:t> </w:t>
      </w:r>
      <w:r>
        <w:rPr>
          <w:color w:val="6E6158"/>
        </w:rPr>
        <w:t>IT</w:t>
      </w:r>
    </w:p>
    <w:p>
      <w:pPr>
        <w:pStyle w:val="BodyText"/>
        <w:spacing w:line="292" w:lineRule="auto"/>
        <w:ind w:right="555"/>
      </w:pPr>
      <w:r>
        <w:rPr>
          <w:color w:val="6E6158"/>
        </w:rPr>
        <w:t>teams, WCAG auditors, and vendors to identify potential barriers to access, evaluate conformity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WCAG</w:t>
      </w:r>
      <w:r>
        <w:rPr>
          <w:color w:val="6E6158"/>
          <w:spacing w:val="11"/>
        </w:rPr>
        <w:t> </w:t>
      </w:r>
      <w:r>
        <w:rPr>
          <w:color w:val="6E6158"/>
        </w:rPr>
        <w:t>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implement</w:t>
      </w:r>
      <w:r>
        <w:rPr>
          <w:color w:val="6E6158"/>
          <w:spacing w:val="11"/>
        </w:rPr>
        <w:t> </w:t>
      </w:r>
      <w:r>
        <w:rPr>
          <w:color w:val="6E6158"/>
        </w:rPr>
        <w:t>solutions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</w:rPr>
        <w:t>reduce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risk</w:t>
      </w:r>
      <w:r>
        <w:rPr>
          <w:color w:val="6E6158"/>
          <w:spacing w:val="10"/>
        </w:rPr>
        <w:t> </w:t>
      </w:r>
      <w:r>
        <w:rPr>
          <w:color w:val="6E6158"/>
        </w:rPr>
        <w:t>while</w:t>
      </w:r>
      <w:r>
        <w:rPr>
          <w:color w:val="6E6158"/>
          <w:spacing w:val="11"/>
        </w:rPr>
        <w:t> </w:t>
      </w:r>
      <w:r>
        <w:rPr>
          <w:color w:val="6E6158"/>
        </w:rPr>
        <w:t>improving</w:t>
      </w:r>
      <w:r>
        <w:rPr>
          <w:color w:val="6E6158"/>
          <w:spacing w:val="11"/>
        </w:rPr>
        <w:t> </w:t>
      </w:r>
      <w:r>
        <w:rPr>
          <w:color w:val="6E6158"/>
        </w:rPr>
        <w:t>user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experience.</w:t>
      </w:r>
    </w:p>
    <w:p>
      <w:pPr>
        <w:pStyle w:val="BodyText"/>
        <w:spacing w:line="295" w:lineRule="auto" w:before="193"/>
        <w:ind w:right="545"/>
      </w:pPr>
      <w:r>
        <w:rPr>
          <w:color w:val="6E6158"/>
        </w:rPr>
        <w:t>We assist clients in conducting accessibility audits and remediation assessments for websites,</w:t>
      </w:r>
      <w:r>
        <w:rPr>
          <w:color w:val="6E6158"/>
          <w:spacing w:val="40"/>
        </w:rPr>
        <w:t> </w:t>
      </w:r>
      <w:r>
        <w:rPr>
          <w:color w:val="6E6158"/>
        </w:rPr>
        <w:t>mobile apps, and digital platforms; reviewing vendor contracts to ensure accessibility </w:t>
      </w:r>
      <w:r>
        <w:rPr>
          <w:color w:val="6E6158"/>
        </w:rPr>
        <w:t>obligations</w:t>
      </w:r>
      <w:r>
        <w:rPr>
          <w:color w:val="6E6158"/>
          <w:spacing w:val="40"/>
        </w:rPr>
        <w:t> </w:t>
      </w:r>
      <w:r>
        <w:rPr>
          <w:color w:val="6E6158"/>
        </w:rPr>
        <w:t>are met; and developing policies and internal procedures that keep accessibility embedded in</w:t>
      </w:r>
      <w:r>
        <w:rPr>
          <w:color w:val="6E6158"/>
          <w:spacing w:val="40"/>
        </w:rPr>
        <w:t> </w:t>
      </w:r>
      <w:r>
        <w:rPr>
          <w:color w:val="6E6158"/>
        </w:rPr>
        <w:t>ongoing operations. We also provide training for in-house teams to recognize and address</w:t>
      </w:r>
      <w:r>
        <w:rPr>
          <w:color w:val="6E6158"/>
          <w:spacing w:val="40"/>
        </w:rPr>
        <w:t> </w:t>
      </w:r>
      <w:r>
        <w:rPr>
          <w:color w:val="6E6158"/>
        </w:rPr>
        <w:t>accessibility issues proactively.</w:t>
      </w:r>
    </w:p>
    <w:p>
      <w:pPr>
        <w:pStyle w:val="Heading1"/>
        <w:spacing w:before="169"/>
      </w:pPr>
      <w:r>
        <w:rPr>
          <w:color w:val="FF8100"/>
        </w:rPr>
        <w:t>ADA/FEHA/FHA</w:t>
      </w:r>
      <w:r>
        <w:rPr>
          <w:color w:val="FF8100"/>
          <w:spacing w:val="13"/>
        </w:rPr>
        <w:t> </w:t>
      </w:r>
      <w:r>
        <w:rPr>
          <w:color w:val="FF8100"/>
        </w:rPr>
        <w:t>LEGAL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DEFENSE</w:t>
      </w:r>
    </w:p>
    <w:p>
      <w:pPr>
        <w:pStyle w:val="BodyText"/>
        <w:spacing w:line="292" w:lineRule="auto" w:before="146"/>
        <w:ind w:right="578"/>
      </w:pPr>
      <w:r>
        <w:rPr>
          <w:color w:val="6E6158"/>
        </w:rPr>
        <w:t>Fennemore’s ADA and accessibility attorneys are nationally recognized by Martindale-Hubbell</w:t>
      </w:r>
      <w:r>
        <w:rPr>
          <w:color w:val="6E6158"/>
          <w:spacing w:val="40"/>
        </w:rPr>
        <w:t> </w:t>
      </w:r>
      <w:r>
        <w:rPr>
          <w:color w:val="6E6158"/>
        </w:rPr>
        <w:t>and Best Lawyers of America for their defense of businesses, public entities, and property </w:t>
      </w:r>
      <w:r>
        <w:rPr>
          <w:color w:val="6E6158"/>
        </w:rPr>
        <w:t>owners</w:t>
      </w:r>
      <w:r>
        <w:rPr>
          <w:color w:val="6E6158"/>
          <w:spacing w:val="40"/>
        </w:rPr>
        <w:t> </w:t>
      </w:r>
      <w:r>
        <w:rPr>
          <w:color w:val="6E6158"/>
        </w:rPr>
        <w:t>facing</w:t>
      </w:r>
      <w:r>
        <w:rPr>
          <w:color w:val="6E6158"/>
          <w:spacing w:val="27"/>
        </w:rPr>
        <w:t> </w:t>
      </w:r>
      <w:r>
        <w:rPr>
          <w:color w:val="6E6158"/>
        </w:rPr>
        <w:t>accessibility</w:t>
      </w:r>
      <w:r>
        <w:rPr>
          <w:color w:val="6E6158"/>
          <w:spacing w:val="27"/>
        </w:rPr>
        <w:t> </w:t>
      </w:r>
      <w:r>
        <w:rPr>
          <w:color w:val="6E6158"/>
        </w:rPr>
        <w:t>claims</w:t>
      </w:r>
      <w:r>
        <w:rPr>
          <w:color w:val="6E6158"/>
          <w:spacing w:val="27"/>
        </w:rPr>
        <w:t> </w:t>
      </w:r>
      <w:r>
        <w:rPr>
          <w:color w:val="6E6158"/>
        </w:rPr>
        <w:t>under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ADA,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Fair</w:t>
      </w:r>
      <w:r>
        <w:rPr>
          <w:color w:val="6E6158"/>
          <w:spacing w:val="27"/>
        </w:rPr>
        <w:t> </w:t>
      </w:r>
      <w:r>
        <w:rPr>
          <w:color w:val="6E6158"/>
        </w:rPr>
        <w:t>Housing</w:t>
      </w:r>
      <w:r>
        <w:rPr>
          <w:color w:val="6E6158"/>
          <w:spacing w:val="27"/>
        </w:rPr>
        <w:t> </w:t>
      </w:r>
      <w:r>
        <w:rPr>
          <w:color w:val="6E6158"/>
        </w:rPr>
        <w:t>Act,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related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10"/>
        <w:ind w:right="545"/>
      </w:pPr>
      <w:r>
        <w:rPr>
          <w:color w:val="6E6158"/>
        </w:rPr>
        <w:t>laws. We help clients respond effectively to enforcement actions, administrative complaints, and</w:t>
      </w:r>
      <w:r>
        <w:rPr>
          <w:color w:val="6E6158"/>
          <w:spacing w:val="40"/>
        </w:rPr>
        <w:t> </w:t>
      </w:r>
      <w:r>
        <w:rPr>
          <w:color w:val="6E6158"/>
        </w:rPr>
        <w:t>private litigation.</w:t>
      </w:r>
    </w:p>
    <w:p>
      <w:pPr>
        <w:pStyle w:val="BodyText"/>
        <w:spacing w:before="197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regularly</w:t>
      </w:r>
      <w:r>
        <w:rPr>
          <w:color w:val="6E6158"/>
          <w:spacing w:val="13"/>
        </w:rPr>
        <w:t> </w:t>
      </w:r>
      <w:r>
        <w:rPr>
          <w:color w:val="6E6158"/>
        </w:rPr>
        <w:t>defend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investigations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proceedings</w:t>
      </w:r>
      <w:r>
        <w:rPr>
          <w:color w:val="6E6158"/>
          <w:spacing w:val="14"/>
        </w:rPr>
        <w:t> </w:t>
      </w:r>
      <w:r>
        <w:rPr>
          <w:color w:val="6E6158"/>
        </w:rPr>
        <w:t>initiated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U.S.</w:t>
      </w:r>
    </w:p>
    <w:p>
      <w:pPr>
        <w:pStyle w:val="BodyText"/>
        <w:spacing w:line="297" w:lineRule="auto" w:before="52"/>
        <w:ind w:right="545"/>
      </w:pPr>
      <w:r>
        <w:rPr>
          <w:color w:val="6E6158"/>
        </w:rPr>
        <w:t>Department of Justice, state attorneys general, and local agencies. We also represent clients in</w:t>
      </w:r>
      <w:r>
        <w:rPr>
          <w:color w:val="6E6158"/>
          <w:spacing w:val="40"/>
        </w:rPr>
        <w:t> </w:t>
      </w:r>
      <w:r>
        <w:rPr>
          <w:color w:val="6E6158"/>
        </w:rPr>
        <w:t>complex, multi-plaintiff, and class action cases involving allegations of barriers in the built</w:t>
      </w:r>
      <w:r>
        <w:rPr>
          <w:color w:val="6E6158"/>
          <w:spacing w:val="40"/>
        </w:rPr>
        <w:t> </w:t>
      </w:r>
      <w:r>
        <w:rPr>
          <w:color w:val="6E6158"/>
        </w:rPr>
        <w:t>environment,</w:t>
      </w:r>
      <w:r>
        <w:rPr>
          <w:color w:val="6E6158"/>
          <w:spacing w:val="40"/>
        </w:rPr>
        <w:t> </w:t>
      </w:r>
      <w:r>
        <w:rPr>
          <w:color w:val="6E6158"/>
        </w:rPr>
        <w:t>communication</w:t>
      </w:r>
      <w:r>
        <w:rPr>
          <w:color w:val="6E6158"/>
          <w:spacing w:val="40"/>
        </w:rPr>
        <w:t> </w:t>
      </w:r>
      <w:r>
        <w:rPr>
          <w:color w:val="6E6158"/>
        </w:rPr>
        <w:t>access,</w:t>
      </w:r>
      <w:r>
        <w:rPr>
          <w:color w:val="6E6158"/>
          <w:spacing w:val="40"/>
        </w:rPr>
        <w:t>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</w:rPr>
        <w:t>digital</w:t>
      </w:r>
      <w:r>
        <w:rPr>
          <w:color w:val="6E6158"/>
          <w:spacing w:val="40"/>
        </w:rPr>
        <w:t> </w:t>
      </w:r>
      <w:r>
        <w:rPr>
          <w:color w:val="6E6158"/>
        </w:rPr>
        <w:t>accessibility.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emphasizes</w:t>
      </w:r>
      <w:r>
        <w:rPr>
          <w:color w:val="6E6158"/>
          <w:spacing w:val="40"/>
        </w:rPr>
        <w:t> </w:t>
      </w:r>
      <w:r>
        <w:rPr>
          <w:color w:val="6E6158"/>
        </w:rPr>
        <w:t>early</w:t>
      </w:r>
    </w:p>
    <w:p>
      <w:pPr>
        <w:pStyle w:val="BodyText"/>
        <w:spacing w:line="297" w:lineRule="auto"/>
        <w:ind w:right="545"/>
      </w:pPr>
      <w:r>
        <w:rPr>
          <w:color w:val="6E6158"/>
        </w:rPr>
        <w:t>assessment, strategic response, and practical resolution, balancing legal, operational,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reputational considerations to achieve results that protect both compliance and business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continuity.</w:t>
      </w:r>
    </w:p>
    <w:p>
      <w:pPr>
        <w:pStyle w:val="BodyText"/>
        <w:spacing w:before="187"/>
      </w:pP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spans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reflecting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depth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versatility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our</w:t>
      </w:r>
    </w:p>
    <w:p>
      <w:pPr>
        <w:pStyle w:val="BodyText"/>
        <w:spacing w:line="295" w:lineRule="auto" w:before="52"/>
        <w:ind w:right="578"/>
      </w:pPr>
      <w:r>
        <w:rPr>
          <w:color w:val="6E6158"/>
        </w:rPr>
        <w:t>practice. We have advised a multi-campus public university system on ADA and Section 504</w:t>
      </w:r>
      <w:r>
        <w:rPr>
          <w:color w:val="6E6158"/>
          <w:spacing w:val="40"/>
        </w:rPr>
        <w:t> </w:t>
      </w:r>
      <w:r>
        <w:rPr>
          <w:color w:val="6E6158"/>
        </w:rPr>
        <w:t>compliance for academic facilities, housing, and athletic venues, working in coordination with</w:t>
      </w:r>
      <w:r>
        <w:rPr>
          <w:color w:val="6E6158"/>
          <w:spacing w:val="40"/>
        </w:rPr>
        <w:t> </w:t>
      </w:r>
      <w:r>
        <w:rPr>
          <w:color w:val="6E6158"/>
        </w:rPr>
        <w:t>architects and state building officials. We have represented a regional hospital network in responding to Department of Justice inquiries regarding communication access for patients with</w:t>
      </w:r>
      <w:r>
        <w:rPr>
          <w:color w:val="6E6158"/>
          <w:spacing w:val="40"/>
        </w:rPr>
        <w:t> </w:t>
      </w:r>
      <w:r>
        <w:rPr>
          <w:color w:val="6E6158"/>
        </w:rPr>
        <w:t>hearing disabilities, resulting in the development of enterprise-wide policies and training that</w:t>
      </w:r>
      <w:r>
        <w:rPr>
          <w:color w:val="6E6158"/>
          <w:spacing w:val="40"/>
        </w:rPr>
        <w:t> </w:t>
      </w:r>
      <w:r>
        <w:rPr>
          <w:color w:val="6E6158"/>
        </w:rPr>
        <w:t>advanced both compliance and patient experience. In the hospitality sector, we guided a national hotel chain through ADA design compliance during a major renovation program,</w:t>
      </w:r>
      <w:r>
        <w:rPr>
          <w:color w:val="6E6158"/>
          <w:spacing w:val="80"/>
        </w:rPr>
        <w:t> </w:t>
      </w:r>
      <w:r>
        <w:rPr>
          <w:color w:val="6E6158"/>
        </w:rPr>
        <w:t>ensuring their guests had ADA accessible rooms, adequate parking, and their public spaces </w:t>
      </w:r>
      <w:r>
        <w:rPr>
          <w:color w:val="6E6158"/>
        </w:rPr>
        <w:t>met</w:t>
      </w:r>
      <w:r>
        <w:rPr>
          <w:color w:val="6E6158"/>
          <w:spacing w:val="40"/>
        </w:rPr>
        <w:t> </w:t>
      </w:r>
      <w:r>
        <w:rPr>
          <w:color w:val="6E6158"/>
        </w:rPr>
        <w:t>evolving standards.</w:t>
      </w:r>
    </w:p>
    <w:p>
      <w:pPr>
        <w:pStyle w:val="BodyText"/>
        <w:spacing w:line="292" w:lineRule="auto" w:before="204"/>
        <w:ind w:right="767"/>
      </w:pPr>
      <w:r>
        <w:rPr>
          <w:color w:val="6E6158"/>
        </w:rPr>
        <w:t>Our team also defends developers, property owners, and commercial tenants in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Fair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Housing</w:t>
      </w:r>
      <w:r>
        <w:rPr>
          <w:color w:val="6E6158"/>
          <w:spacing w:val="30"/>
        </w:rPr>
        <w:t> </w:t>
      </w:r>
      <w:r>
        <w:rPr>
          <w:color w:val="6E6158"/>
        </w:rPr>
        <w:t>Act,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Fair</w:t>
      </w:r>
      <w:r>
        <w:rPr>
          <w:color w:val="6E6158"/>
          <w:spacing w:val="30"/>
        </w:rPr>
        <w:t> </w:t>
      </w:r>
      <w:r>
        <w:rPr>
          <w:color w:val="6E6158"/>
        </w:rPr>
        <w:t>Housing</w:t>
      </w:r>
      <w:r>
        <w:rPr>
          <w:color w:val="6E6158"/>
          <w:spacing w:val="30"/>
        </w:rPr>
        <w:t> </w:t>
      </w:r>
      <w:r>
        <w:rPr>
          <w:color w:val="6E6158"/>
        </w:rPr>
        <w:t>Act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multiple</w:t>
      </w:r>
    </w:p>
    <w:p>
      <w:pPr>
        <w:pStyle w:val="BodyText"/>
        <w:spacing w:line="295" w:lineRule="auto" w:before="1"/>
        <w:ind w:right="767"/>
      </w:pPr>
      <w:r>
        <w:rPr>
          <w:color w:val="6E6158"/>
        </w:rPr>
        <w:t>jurisdictions, helping clients navigate overlapping standards with consistency and foresight.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have counseled a national real estate developer on ADA and Fair Housing Act accessibility</w:t>
      </w:r>
      <w:r>
        <w:rPr>
          <w:color w:val="6E6158"/>
          <w:spacing w:val="40"/>
        </w:rPr>
        <w:t> </w:t>
      </w:r>
      <w:r>
        <w:rPr>
          <w:color w:val="6E6158"/>
        </w:rPr>
        <w:t>requirements for mixed-use projects, advised performing arts organizations and entertainment</w:t>
      </w:r>
      <w:r>
        <w:rPr>
          <w:color w:val="6E6158"/>
          <w:spacing w:val="40"/>
        </w:rPr>
        <w:t> </w:t>
      </w:r>
      <w:r>
        <w:rPr>
          <w:color w:val="6E6158"/>
        </w:rPr>
        <w:t>venues on seating and path-of-travel compliance, and represented retailers and small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resolving</w:t>
      </w:r>
      <w:r>
        <w:rPr>
          <w:color w:val="6E6158"/>
          <w:spacing w:val="40"/>
        </w:rPr>
        <w:t> </w:t>
      </w:r>
      <w:r>
        <w:rPr>
          <w:color w:val="6E6158"/>
        </w:rPr>
        <w:t>architectural</w:t>
      </w:r>
      <w:r>
        <w:rPr>
          <w:color w:val="6E6158"/>
          <w:spacing w:val="40"/>
        </w:rPr>
        <w:t> </w:t>
      </w:r>
      <w:r>
        <w:rPr>
          <w:color w:val="6E6158"/>
        </w:rPr>
        <w:t>barrier</w:t>
      </w:r>
      <w:r>
        <w:rPr>
          <w:color w:val="6E6158"/>
          <w:spacing w:val="40"/>
        </w:rPr>
        <w:t>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40"/>
        </w:rPr>
        <w:t> </w:t>
      </w:r>
      <w:r>
        <w:rPr>
          <w:color w:val="6E6158"/>
        </w:rPr>
        <w:t>proactive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programs.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ada-and-accessibility/" TargetMode="External"/><Relationship Id="rId10" Type="http://schemas.openxmlformats.org/officeDocument/2006/relationships/hyperlink" Target="https://www.fennemorelaw.com/services/employment-and-labor-relations/" TargetMode="External"/><Relationship Id="rId11" Type="http://schemas.openxmlformats.org/officeDocument/2006/relationships/hyperlink" Target="https://www.fennemorelaw.com/people/attorneys/bruna-e-pedrini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bpedrini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business-litigation/" TargetMode="External"/><Relationship Id="rId16" Type="http://schemas.openxmlformats.org/officeDocument/2006/relationships/hyperlink" Target="https://www.fennemorelaw.com/people/attorneys/kurt-a-franklin/" TargetMode="External"/><Relationship Id="rId17" Type="http://schemas.openxmlformats.org/officeDocument/2006/relationships/hyperlink" Target="https://www.fennemorelaw.com/contact-us/#walnut-creek" TargetMode="External"/><Relationship Id="rId18" Type="http://schemas.openxmlformats.org/officeDocument/2006/relationships/hyperlink" Target="mailto:kfranklin@fennemorelaw.com" TargetMode="External"/><Relationship Id="rId19" Type="http://schemas.openxmlformats.org/officeDocument/2006/relationships/image" Target="media/image5.png"/><Relationship Id="rId20" Type="http://schemas.openxmlformats.org/officeDocument/2006/relationships/hyperlink" Target="https://www.fennemorelaw.com/people/attorneys/david-goldman/" TargetMode="External"/><Relationship Id="rId21" Type="http://schemas.openxmlformats.org/officeDocument/2006/relationships/hyperlink" Target="https://www.fennemorelaw.com/contact-us/#oakland" TargetMode="External"/><Relationship Id="rId22" Type="http://schemas.openxmlformats.org/officeDocument/2006/relationships/hyperlink" Target="mailto:dgoldman@fennemorelaw.com" TargetMode="External"/><Relationship Id="rId23" Type="http://schemas.openxmlformats.org/officeDocument/2006/relationships/image" Target="media/image6.png"/><Relationship Id="rId24" Type="http://schemas.openxmlformats.org/officeDocument/2006/relationships/hyperlink" Target="https://www.fennemorelaw.com/people/attorneys/rachelle-golden/" TargetMode="External"/><Relationship Id="rId25" Type="http://schemas.openxmlformats.org/officeDocument/2006/relationships/hyperlink" Target="https://www.fennemorelaw.com/contact-us/#fresno" TargetMode="External"/><Relationship Id="rId26" Type="http://schemas.openxmlformats.org/officeDocument/2006/relationships/hyperlink" Target="mailto:rgold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and Accessibility - Fennemore</dc:title>
  <dcterms:created xsi:type="dcterms:W3CDTF">2026-01-22T11:23:05Z</dcterms:created>
  <dcterms:modified xsi:type="dcterms:W3CDTF">2026-01-22T11:23:05Z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