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68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5477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477510"/>
                          <a:chExt cx="6071870" cy="5477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738755">
                                <a:moveTo>
                                  <a:pt x="6071591" y="2738675"/>
                                </a:moveTo>
                                <a:lnTo>
                                  <a:pt x="0" y="27386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73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431.3pt;mso-position-horizontal-relative:page;mso-position-vertical-relative:paragraph;z-index:-15854080" id="docshapegroup1" coordorigin="1336,-1522" coordsize="9562,8626">
                <v:rect style="position:absolute;left:1336;top:2791;width:9562;height:4313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Business &amp; </w:t>
      </w:r>
      <w:r>
        <w:rPr>
          <w:color w:val="FFFFFF"/>
          <w:spacing w:val="-2"/>
        </w:rPr>
        <w:t>Finance</w:t>
      </w:r>
    </w:p>
    <w:p>
      <w:pPr>
        <w:pStyle w:val="BodyText"/>
        <w:spacing w:before="91"/>
        <w:ind w:left="0"/>
        <w:rPr>
          <w:b/>
          <w:sz w:val="42"/>
        </w:rPr>
      </w:pPr>
    </w:p>
    <w:p>
      <w:pPr>
        <w:spacing w:line="247" w:lineRule="auto" w:before="0"/>
        <w:ind w:left="689" w:right="6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business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finance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attorneys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represent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national,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regional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 local clients participating in significant transactions.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48"/>
        <w:ind w:left="0"/>
        <w:rPr>
          <w:sz w:val="22"/>
        </w:rPr>
      </w:pPr>
    </w:p>
    <w:p>
      <w:pPr>
        <w:spacing w:line="348" w:lineRule="auto" w:before="1"/>
        <w:ind w:left="1306" w:right="1305" w:firstLine="37"/>
        <w:jc w:val="both"/>
        <w:rPr>
          <w:sz w:val="16"/>
        </w:rPr>
      </w:pPr>
      <w:r>
        <w:rPr>
          <w:color w:val="FFFFFF"/>
          <w:spacing w:val="-4"/>
          <w:sz w:val="16"/>
        </w:rPr>
        <w:t>Our attorneys have substantial experience in a wide variety of corporate, commercial and securities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transactions,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including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mergers,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acquisitions,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corporate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reorganizations,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leveraged </w:t>
      </w:r>
      <w:r>
        <w:rPr>
          <w:color w:val="FFFFFF"/>
          <w:spacing w:val="-2"/>
          <w:sz w:val="16"/>
        </w:rPr>
        <w:t>buyouts,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debt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venture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capital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private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placements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securities.</w:t>
      </w:r>
    </w:p>
    <w:p>
      <w:pPr>
        <w:spacing w:line="348" w:lineRule="auto" w:before="163"/>
        <w:ind w:left="939" w:right="938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seasoned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understands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intricacies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associated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creating,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establishing,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maintaining 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running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successful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assist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phases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business’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life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including entity selection, formation and governance. Our business attorneys often serve the role of in-house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counsel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held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provide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outside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expertise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larger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businesses.</w:t>
      </w:r>
    </w:p>
    <w:p>
      <w:pPr>
        <w:spacing w:line="348" w:lineRule="auto" w:before="165"/>
        <w:ind w:left="939" w:right="938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Working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each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client,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firm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places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emphasis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practical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business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legal </w:t>
      </w:r>
      <w:r>
        <w:rPr>
          <w:color w:val="FFFFFF"/>
          <w:spacing w:val="-4"/>
          <w:sz w:val="16"/>
        </w:rPr>
        <w:t>solutions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negotiating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drafting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contracts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addressing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complex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business,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legal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z w:val="16"/>
        </w:rPr>
        <w:t>regulatory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issues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that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businesses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face.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0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50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43892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Daniel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G.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Arana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Nogales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520.281.3483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520.281.3499</w:t>
      </w:r>
    </w:p>
    <w:p>
      <w:pPr>
        <w:spacing w:line="266" w:lineRule="auto" w:before="15"/>
        <w:ind w:left="3167" w:right="506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118" w:after="1"/>
        <w:ind w:left="0"/>
        <w:rPr>
          <w:sz w:val="20"/>
        </w:rPr>
      </w:pPr>
    </w:p>
    <w:p>
      <w:pPr>
        <w:spacing w:line="240" w:lineRule="auto"/>
        <w:ind w:left="295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ind w:left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87"/>
        <w:ind w:left="0"/>
        <w:rPr>
          <w:sz w:val="16"/>
        </w:rPr>
      </w:pPr>
    </w:p>
    <w:p>
      <w:pPr>
        <w:spacing w:line="218" w:lineRule="auto" w:before="0"/>
        <w:ind w:left="303" w:right="512" w:firstLine="0"/>
        <w:jc w:val="left"/>
        <w:rPr>
          <w:sz w:val="16"/>
        </w:rPr>
      </w:pP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303" w:right="0" w:firstLine="0"/>
        <w:jc w:val="left"/>
        <w:rPr>
          <w:sz w:val="16"/>
        </w:rPr>
      </w:pPr>
      <w:hyperlink r:id="rId16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pStyle w:val="BodyText"/>
        <w:spacing w:before="22"/>
        <w:ind w:left="0"/>
        <w:rPr>
          <w:sz w:val="16"/>
        </w:rPr>
      </w:pPr>
    </w:p>
    <w:p>
      <w:pPr>
        <w:spacing w:line="191" w:lineRule="exact" w:before="1"/>
        <w:ind w:left="303" w:right="0" w:firstLine="0"/>
        <w:jc w:val="left"/>
        <w:rPr>
          <w:b/>
          <w:sz w:val="16"/>
        </w:rPr>
      </w:pPr>
      <w:hyperlink r:id="rId17">
        <w:r>
          <w:rPr>
            <w:b/>
            <w:sz w:val="16"/>
          </w:rPr>
          <w:t>Craig</w:t>
        </w:r>
        <w:r>
          <w:rPr>
            <w:b/>
            <w:spacing w:val="4"/>
            <w:sz w:val="16"/>
          </w:rPr>
          <w:t> </w:t>
        </w:r>
        <w:r>
          <w:rPr>
            <w:b/>
            <w:spacing w:val="-4"/>
            <w:sz w:val="16"/>
          </w:rPr>
          <w:t>Etem</w:t>
        </w:r>
      </w:hyperlink>
    </w:p>
    <w:p>
      <w:pPr>
        <w:spacing w:line="142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03" w:right="0" w:firstLine="0"/>
        <w:jc w:val="left"/>
        <w:rPr>
          <w:b/>
          <w:sz w:val="12"/>
        </w:rPr>
      </w:pPr>
      <w:hyperlink r:id="rId18">
        <w:r>
          <w:rPr>
            <w:b/>
            <w:spacing w:val="-4"/>
            <w:sz w:val="12"/>
          </w:rPr>
          <w:t>Reno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775.788.2224</w:t>
      </w:r>
    </w:p>
    <w:p>
      <w:pPr>
        <w:spacing w:before="15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775.788.2225</w:t>
      </w:r>
    </w:p>
    <w:p>
      <w:pPr>
        <w:spacing w:line="266" w:lineRule="auto" w:before="16"/>
        <w:ind w:left="303" w:right="512" w:firstLine="0"/>
        <w:jc w:val="left"/>
        <w:rPr>
          <w:sz w:val="12"/>
        </w:rPr>
      </w:pPr>
      <w:hyperlink r:id="rId19">
        <w:r>
          <w:rPr>
            <w:color w:val="002E6B"/>
            <w:spacing w:val="-2"/>
            <w:sz w:val="12"/>
            <w:u w:val="single" w:color="002E6B"/>
          </w:rPr>
          <w:t>cetem@fennemorela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9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297" w:right="5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6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297" w:right="0" w:firstLine="0"/>
        <w:jc w:val="left"/>
        <w:rPr>
          <w:b/>
          <w:sz w:val="16"/>
        </w:rPr>
      </w:pPr>
      <w:hyperlink r:id="rId20">
        <w:r>
          <w:rPr>
            <w:b/>
            <w:sz w:val="16"/>
          </w:rPr>
          <w:t>Steven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Cramer</w:t>
        </w:r>
      </w:hyperlink>
    </w:p>
    <w:p>
      <w:pPr>
        <w:spacing w:line="142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21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297" w:right="53" w:firstLine="0"/>
        <w:jc w:val="left"/>
        <w:rPr>
          <w:sz w:val="12"/>
        </w:rPr>
      </w:pPr>
      <w:hyperlink r:id="rId22">
        <w:r>
          <w:rPr>
            <w:color w:val="002E6B"/>
            <w:spacing w:val="-2"/>
            <w:sz w:val="12"/>
            <w:u w:val="single" w:color="002E6B"/>
          </w:rPr>
          <w:t>scramer@fennemorela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2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3" w:equalWidth="0">
            <w:col w:w="5154" w:space="40"/>
            <w:col w:w="2296" w:space="39"/>
            <w:col w:w="1831"/>
          </w:cols>
        </w:sectPr>
      </w:pPr>
    </w:p>
    <w:p>
      <w:pPr>
        <w:pStyle w:val="Heading2"/>
        <w:spacing w:before="83"/>
      </w:pPr>
      <w:r>
        <w:rPr>
          <w:color w:val="FF8100"/>
        </w:rPr>
        <w:t>LET'S</w:t>
      </w:r>
      <w:r>
        <w:rPr>
          <w:color w:val="FF8100"/>
          <w:spacing w:val="5"/>
        </w:rPr>
        <w:t> </w:t>
      </w:r>
      <w:r>
        <w:rPr>
          <w:color w:val="FF8100"/>
        </w:rPr>
        <w:t>GET</w:t>
      </w:r>
      <w:r>
        <w:rPr>
          <w:color w:val="FF8100"/>
          <w:spacing w:val="5"/>
        </w:rPr>
        <w:t> </w:t>
      </w:r>
      <w:r>
        <w:rPr>
          <w:color w:val="FF8100"/>
        </w:rPr>
        <w:t>TO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WORK</w:t>
      </w:r>
    </w:p>
    <w:p>
      <w:pPr>
        <w:pStyle w:val="BodyText"/>
        <w:spacing w:line="292" w:lineRule="auto" w:before="147"/>
      </w:pPr>
      <w:r>
        <w:rPr>
          <w:color w:val="6E6158"/>
        </w:rPr>
        <w:t>Our group provides a full array of business services including counseling, agreements </w:t>
      </w:r>
      <w:r>
        <w:rPr>
          <w:color w:val="6E6158"/>
        </w:rPr>
        <w:t>and transactions related to the following:</w:t>
      </w:r>
    </w:p>
    <w:p>
      <w:pPr>
        <w:pStyle w:val="BodyText"/>
        <w:spacing w:before="20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189394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12985pt;width:1.65pt;height:1.65pt;mso-position-horizontal-relative:page;mso-position-vertical-relative:paragraph;z-index:15730176" id="docshape6" coordorigin="1670,298" coordsize="33,33" path="m1691,331l1682,331,1678,329,1671,323,1670,319,1670,310,1671,306,1678,300,1682,298,1691,298,1694,300,1701,306,1702,310,1702,315,1702,319,1701,323,1694,329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line="420" w:lineRule="auto" w:before="174"/>
        <w:ind w:left="351" w:right="5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175461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887pt;width:1.65pt;height:1.65pt;mso-position-horizontal-relative:page;mso-position-vertical-relative:paragraph;z-index:15730688" id="docshape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433827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9637pt;width:1.65pt;height:1.65pt;mso-position-horizontal-relative:page;mso-position-vertical-relative:paragraph;z-index:15731200" id="docshape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formation/choice of </w:t>
      </w:r>
      <w:r>
        <w:rPr>
          <w:color w:val="6E6158"/>
        </w:rPr>
        <w:t>entity </w:t>
      </w:r>
      <w:r>
        <w:rPr>
          <w:color w:val="6E6158"/>
          <w:spacing w:val="-2"/>
        </w:rPr>
        <w:t>Corporations</w:t>
      </w:r>
    </w:p>
    <w:p>
      <w:pPr>
        <w:pStyle w:val="BodyText"/>
        <w:spacing w:line="422" w:lineRule="auto"/>
        <w:ind w:left="351" w:right="5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63962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418pt;width:1.65pt;height:1.65pt;mso-position-horizontal-relative:page;mso-position-vertical-relative:paragraph;z-index:15731712" id="docshape9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322328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0169pt;width:1.65pt;height:1.65pt;mso-position-horizontal-relative:page;mso-position-vertical-relative:paragraph;z-index:15732224" id="docshape10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585861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30795pt;width:1.65pt;height:1.65pt;mso-position-horizontal-relative:page;mso-position-vertical-relative:paragraph;z-index:15732736" id="docshape11" coordorigin="1670,923" coordsize="33,33" path="m1691,955l1682,955,1678,954,1671,947,1670,943,1670,934,1671,931,1678,924,1682,923,1691,923,1694,924,1701,931,1702,934,1702,939,1702,943,1701,947,1694,954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844226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74541pt;width:1.65pt;height:1.65pt;mso-position-horizontal-relative:page;mso-position-vertical-relative:paragraph;z-index:15733248" id="docshape12" coordorigin="1670,1329" coordsize="33,33" path="m1691,1362l1682,1362,1678,1360,1671,1354,1670,1350,1670,1341,1671,1337,1678,1331,1682,1329,1691,1329,1694,1331,1701,1337,1702,1341,1702,1346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Partnerships (General and </w:t>
      </w:r>
      <w:r>
        <w:rPr>
          <w:color w:val="6E6158"/>
        </w:rPr>
        <w:t>Limited) Limited Liability Companies (LLC) Limited Liability Partnerships (LLP) Charitable organizations</w:t>
      </w:r>
    </w:p>
    <w:p>
      <w:pPr>
        <w:pStyle w:val="BodyText"/>
        <w:spacing w:line="427" w:lineRule="auto"/>
        <w:ind w:left="351" w:right="5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61194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18448pt;width:1.65pt;height:1.65pt;mso-position-horizontal-relative:page;mso-position-vertical-relative:paragraph;z-index:15733760" id="docshape13" coordorigin="1670,96" coordsize="33,33" path="m1691,129l1682,129,1678,127,1671,121,1670,117,1670,108,1671,104,1678,98,1682,96,1691,96,1694,98,1701,104,1702,108,1702,113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319559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62182pt;width:1.65pt;height:1.65pt;mso-position-horizontal-relative:page;mso-position-vertical-relative:paragraph;z-index:15734272" id="docshape14" coordorigin="1670,503" coordsize="33,33" path="m1691,536l1682,536,1678,534,1671,528,1670,524,1670,515,1671,511,1678,505,1682,503,1691,503,1694,505,1701,511,1702,515,1702,520,1702,524,1701,528,1694,534,1691,5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and commercial </w:t>
      </w:r>
      <w:r>
        <w:rPr>
          <w:color w:val="6E6158"/>
        </w:rPr>
        <w:t>agreements Debt and equity financing</w:t>
      </w:r>
    </w:p>
    <w:p>
      <w:pPr>
        <w:pStyle w:val="BodyText"/>
        <w:spacing w:line="422" w:lineRule="auto"/>
        <w:ind w:left="351" w:right="64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56476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46976pt;width:1.65pt;height:1.65pt;mso-position-horizontal-relative:page;mso-position-vertical-relative:paragraph;z-index:15734784" id="docshape15" coordorigin="1670,89" coordsize="33,33" path="m1691,121l1682,121,1678,120,1671,114,1670,110,1670,101,1671,97,1678,91,1682,89,1691,89,1694,91,1701,97,1702,101,1702,105,1702,110,1701,114,1694,120,1691,1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314842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790724pt;width:1.65pt;height:1.65pt;mso-position-horizontal-relative:page;mso-position-vertical-relative:paragraph;z-index:15735296" id="docshape16" coordorigin="1670,496" coordsize="33,33" path="m1691,528l1682,528,1678,527,1671,520,1670,517,1670,508,1671,504,1678,497,1682,496,1691,496,1694,497,1701,504,1702,508,1702,512,1702,517,1701,520,1694,527,1691,5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573207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134476pt;width:1.65pt;height:1.65pt;mso-position-horizontal-relative:page;mso-position-vertical-relative:paragraph;z-index:15735808" id="docshape17" coordorigin="1670,903" coordsize="33,33" path="m1691,935l1682,935,1678,934,1671,927,1670,923,1670,914,1671,911,1678,904,1682,903,1691,903,1694,904,1701,911,1702,914,1702,919,1702,923,1701,927,1694,934,1691,9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Buy-Sell Agreements Commercial Law</w:t>
      </w:r>
      <w:r>
        <w:rPr>
          <w:color w:val="6E6158"/>
          <w:spacing w:val="40"/>
        </w:rPr>
        <w:t> </w:t>
      </w:r>
      <w:r>
        <w:rPr>
          <w:color w:val="6E6158"/>
        </w:rPr>
        <w:t>Dissolutions and </w:t>
      </w:r>
      <w:r>
        <w:rPr>
          <w:color w:val="6E6158"/>
        </w:rPr>
        <w:t>liquidations</w:t>
      </w:r>
    </w:p>
    <w:p>
      <w:pPr>
        <w:pStyle w:val="BodyText"/>
        <w:spacing w:line="295" w:lineRule="auto" w:before="59"/>
        <w:ind w:right="161"/>
      </w:pPr>
      <w:r>
        <w:rPr>
          <w:color w:val="6E6158"/>
        </w:rPr>
        <w:t>In addition to the extensive resources offered by our firm, we also provide related services in the</w:t>
      </w:r>
      <w:r>
        <w:rPr>
          <w:color w:val="6E6158"/>
          <w:spacing w:val="40"/>
        </w:rPr>
        <w:t> </w:t>
      </w:r>
      <w:r>
        <w:rPr>
          <w:color w:val="6E6158"/>
        </w:rPr>
        <w:t>areas of </w:t>
      </w:r>
      <w:hyperlink r:id="rId23">
        <w:r>
          <w:rPr>
            <w:color w:val="FF8100"/>
          </w:rPr>
          <w:t>tax</w:t>
        </w:r>
      </w:hyperlink>
      <w:hyperlink r:id="rId23">
        <w:r>
          <w:rPr>
            <w:color w:val="F5821F"/>
          </w:rPr>
          <w:t>,</w:t>
        </w:r>
      </w:hyperlink>
      <w:r>
        <w:rPr>
          <w:color w:val="F5821F"/>
        </w:rPr>
        <w:t> </w:t>
      </w:r>
      <w:r>
        <w:rPr>
          <w:color w:val="6E6158"/>
        </w:rPr>
        <w:t>venture capital and securities law, </w:t>
      </w:r>
      <w:hyperlink r:id="rId24">
        <w:r>
          <w:rPr>
            <w:color w:val="FF8100"/>
          </w:rPr>
          <w:t>health care</w:t>
        </w:r>
      </w:hyperlink>
      <w:r>
        <w:rPr>
          <w:color w:val="FF8100"/>
        </w:rPr>
        <w:t>, </w:t>
      </w:r>
      <w:hyperlink r:id="rId25">
        <w:r>
          <w:rPr>
            <w:color w:val="FF8100"/>
          </w:rPr>
          <w:t>employment law</w:t>
        </w:r>
      </w:hyperlink>
      <w:r>
        <w:rPr>
          <w:color w:val="FF8100"/>
        </w:rPr>
        <w:t>, </w:t>
      </w:r>
      <w:hyperlink r:id="rId26">
        <w:r>
          <w:rPr>
            <w:color w:val="FF8100"/>
          </w:rPr>
          <w:t>intellectual</w:t>
        </w:r>
      </w:hyperlink>
      <w:r>
        <w:rPr>
          <w:color w:val="FF8100"/>
          <w:spacing w:val="40"/>
        </w:rPr>
        <w:t> </w:t>
      </w:r>
      <w:hyperlink r:id="rId26">
        <w:r>
          <w:rPr>
            <w:color w:val="FF8100"/>
          </w:rPr>
          <w:t>property</w:t>
        </w:r>
      </w:hyperlink>
      <w:r>
        <w:rPr>
          <w:color w:val="FF8100"/>
        </w:rPr>
        <w:t>, </w:t>
      </w:r>
      <w:hyperlink r:id="rId27">
        <w:r>
          <w:rPr>
            <w:color w:val="FF8100"/>
          </w:rPr>
          <w:t>real estate</w:t>
        </w:r>
      </w:hyperlink>
      <w:r>
        <w:rPr>
          <w:color w:val="FF8100"/>
        </w:rPr>
        <w:t> </w:t>
      </w:r>
      <w:r>
        <w:rPr>
          <w:color w:val="6E6158"/>
        </w:rPr>
        <w:t>and more — giving clients the advantage of a comprehensive array of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all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one</w:t>
      </w:r>
      <w:r>
        <w:rPr>
          <w:color w:val="6E6158"/>
          <w:spacing w:val="14"/>
        </w:rPr>
        <w:t> </w:t>
      </w:r>
      <w:r>
        <w:rPr>
          <w:color w:val="6E6158"/>
        </w:rPr>
        <w:t>roof.</w:t>
      </w:r>
      <w:r>
        <w:rPr>
          <w:color w:val="6E6158"/>
          <w:spacing w:val="14"/>
        </w:rPr>
        <w:t> </w:t>
      </w:r>
      <w:r>
        <w:rPr>
          <w:color w:val="6E6158"/>
        </w:rPr>
        <w:t>These</w:t>
      </w:r>
      <w:r>
        <w:rPr>
          <w:color w:val="6E6158"/>
          <w:spacing w:val="14"/>
        </w:rPr>
        <w:t> </w:t>
      </w:r>
      <w:r>
        <w:rPr>
          <w:color w:val="6E6158"/>
        </w:rPr>
        <w:t>groups</w:t>
      </w:r>
      <w:r>
        <w:rPr>
          <w:color w:val="6E6158"/>
          <w:spacing w:val="14"/>
        </w:rPr>
        <w:t> </w:t>
      </w:r>
      <w:r>
        <w:rPr>
          <w:color w:val="6E6158"/>
        </w:rPr>
        <w:t>work</w:t>
      </w:r>
      <w:r>
        <w:rPr>
          <w:color w:val="6E6158"/>
          <w:spacing w:val="14"/>
        </w:rPr>
        <w:t> </w:t>
      </w:r>
      <w:r>
        <w:rPr>
          <w:color w:val="6E6158"/>
        </w:rPr>
        <w:t>cohesively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ensure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integrated</w:t>
      </w:r>
      <w:r>
        <w:rPr>
          <w:color w:val="6E6158"/>
          <w:spacing w:val="14"/>
        </w:rPr>
        <w:t> </w:t>
      </w:r>
      <w:r>
        <w:rPr>
          <w:color w:val="6E6158"/>
        </w:rPr>
        <w:t>approach is achieved for each client, allowing all aspects of their businesses to function effectively. Should</w:t>
      </w:r>
      <w:r>
        <w:rPr>
          <w:color w:val="6E6158"/>
          <w:spacing w:val="40"/>
        </w:rPr>
        <w:t> </w:t>
      </w:r>
      <w:r>
        <w:rPr>
          <w:color w:val="6E6158"/>
        </w:rPr>
        <w:t>conflicts or disputes arise that require litigation, we’re not afraid of going to trial, and we have</w:t>
      </w:r>
      <w:r>
        <w:rPr>
          <w:color w:val="6E6158"/>
          <w:spacing w:val="40"/>
        </w:rPr>
        <w:t> </w:t>
      </w:r>
      <w:r>
        <w:rPr>
          <w:color w:val="6E6158"/>
        </w:rPr>
        <w:t>skilled trial attorneys ready to effectively represent and protect our clients.</w:t>
      </w:r>
    </w:p>
    <w:p>
      <w:pPr>
        <w:pStyle w:val="Heading2"/>
        <w:spacing w:before="166"/>
      </w:pPr>
      <w:r>
        <w:rPr>
          <w:color w:val="FF8100"/>
        </w:rPr>
        <w:t>COMMERCIAL</w:t>
      </w:r>
      <w:r>
        <w:rPr>
          <w:color w:val="FF8100"/>
          <w:spacing w:val="17"/>
        </w:rPr>
        <w:t> </w:t>
      </w:r>
      <w:r>
        <w:rPr>
          <w:color w:val="FF8100"/>
          <w:spacing w:val="-2"/>
        </w:rPr>
        <w:t>FINANCE</w:t>
      </w:r>
    </w:p>
    <w:p>
      <w:pPr>
        <w:pStyle w:val="BodyText"/>
        <w:spacing w:line="292" w:lineRule="auto" w:before="146"/>
        <w:ind w:right="243"/>
      </w:pPr>
      <w:r>
        <w:rPr>
          <w:color w:val="6E6158"/>
        </w:rPr>
        <w:t>Our attorneys structure, negotiate and document a variety of commercial and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8"/>
        </w:rPr>
        <w:t> </w:t>
      </w:r>
      <w:r>
        <w:rPr>
          <w:color w:val="6E6158"/>
        </w:rPr>
        <w:t>such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8"/>
        </w:rPr>
        <w:t> </w:t>
      </w:r>
      <w:r>
        <w:rPr>
          <w:color w:val="6E6158"/>
        </w:rPr>
        <w:t>asset-based</w:t>
      </w:r>
      <w:r>
        <w:rPr>
          <w:color w:val="6E6158"/>
          <w:spacing w:val="18"/>
        </w:rPr>
        <w:t> </w:t>
      </w:r>
      <w:r>
        <w:rPr>
          <w:color w:val="6E6158"/>
        </w:rPr>
        <w:t>lending</w:t>
      </w:r>
      <w:r>
        <w:rPr>
          <w:color w:val="6E6158"/>
          <w:spacing w:val="17"/>
        </w:rPr>
        <w:t> </w:t>
      </w:r>
      <w:r>
        <w:rPr>
          <w:color w:val="6E6158"/>
        </w:rPr>
        <w:t>documentation,</w:t>
      </w:r>
      <w:r>
        <w:rPr>
          <w:color w:val="6E6158"/>
          <w:spacing w:val="18"/>
        </w:rPr>
        <w:t> </w:t>
      </w:r>
      <w:r>
        <w:rPr>
          <w:color w:val="6E6158"/>
        </w:rPr>
        <w:t>security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agreements,</w:t>
      </w:r>
    </w:p>
    <w:p>
      <w:pPr>
        <w:pStyle w:val="BodyText"/>
        <w:spacing w:line="295" w:lineRule="auto" w:before="1"/>
        <w:ind w:right="243"/>
      </w:pPr>
      <w:r>
        <w:rPr>
          <w:color w:val="6E6158"/>
        </w:rPr>
        <w:t>project financing, leveraged leases, loan restructures and workouts, letters of credit, repurchase</w:t>
      </w:r>
      <w:r>
        <w:rPr>
          <w:color w:val="6E6158"/>
          <w:spacing w:val="40"/>
        </w:rPr>
        <w:t> </w:t>
      </w:r>
      <w:r>
        <w:rPr>
          <w:color w:val="6E6158"/>
        </w:rPr>
        <w:t>and reverse repurchase agreements, and acquisition financing. Our finance attorneys’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experience spans numerous industries and types of transactions, ranging from complex national</w:t>
      </w:r>
      <w:r>
        <w:rPr>
          <w:color w:val="6E6158"/>
          <w:spacing w:val="40"/>
        </w:rPr>
        <w:t> </w:t>
      </w:r>
      <w:r>
        <w:rPr>
          <w:color w:val="6E6158"/>
        </w:rPr>
        <w:t>and international multilevel credit arrangements to small business and personal loans in both the</w:t>
      </w:r>
      <w:r>
        <w:rPr>
          <w:color w:val="6E6158"/>
          <w:spacing w:val="40"/>
        </w:rPr>
        <w:t> </w:t>
      </w:r>
      <w:r>
        <w:rPr>
          <w:color w:val="6E6158"/>
        </w:rPr>
        <w:t>real estate and commercial finance industries.</w:t>
      </w:r>
    </w:p>
    <w:p>
      <w:pPr>
        <w:pStyle w:val="Heading2"/>
        <w:spacing w:before="169"/>
      </w:pPr>
      <w:r>
        <w:rPr>
          <w:color w:val="FF8100"/>
        </w:rPr>
        <w:t>CORPORATE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GOVERNANCE</w:t>
      </w:r>
    </w:p>
    <w:p>
      <w:pPr>
        <w:pStyle w:val="BodyText"/>
        <w:spacing w:line="292" w:lineRule="auto" w:before="147"/>
        <w:ind w:right="9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2476515</wp:posOffset>
                </wp:positionH>
                <wp:positionV relativeFrom="paragraph">
                  <wp:posOffset>406077</wp:posOffset>
                </wp:positionV>
                <wp:extent cx="23495" cy="107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34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10795">
                              <a:moveTo>
                                <a:pt x="23492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23492" y="0"/>
                              </a:lnTo>
                              <a:lnTo>
                                <a:pt x="23492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001236pt;margin-top:31.974611pt;width:1.849832pt;height:.81375pt;mso-position-horizontal-relative:page;mso-position-vertical-relative:paragraph;z-index:-15853056" id="docshape18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Our business attorneys advise clients on a variety of corporate governance issues, including </w:t>
      </w:r>
      <w:r>
        <w:rPr>
          <w:color w:val="6E6158"/>
          <w:u w:val="single" w:color="6E6158"/>
        </w:rPr>
        <w:t>Sarbanes-Oxle</w:t>
      </w:r>
      <w:r>
        <w:rPr>
          <w:color w:val="6E6158"/>
          <w:u w:val="none"/>
        </w:rPr>
        <w:t>y compliance, corporate compliance programs and </w:t>
      </w:r>
      <w:r>
        <w:rPr>
          <w:color w:val="6E6158"/>
          <w:u w:val="none"/>
        </w:rPr>
        <w:t>internal </w:t>
      </w:r>
      <w:r>
        <w:rPr>
          <w:color w:val="6E6158"/>
          <w:spacing w:val="-2"/>
          <w:u w:val="none"/>
        </w:rPr>
        <w:t>investigations.</w:t>
      </w:r>
    </w:p>
    <w:p>
      <w:pPr>
        <w:pStyle w:val="Heading2"/>
        <w:spacing w:before="171"/>
      </w:pPr>
      <w:r>
        <w:rPr>
          <w:color w:val="FF8100"/>
        </w:rPr>
        <w:t>GENERAL</w:t>
      </w:r>
      <w:r>
        <w:rPr>
          <w:color w:val="FF8100"/>
          <w:spacing w:val="11"/>
        </w:rPr>
        <w:t> </w:t>
      </w:r>
      <w:r>
        <w:rPr>
          <w:color w:val="FF8100"/>
        </w:rPr>
        <w:t>CORPORATE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COMMERCIAL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898"/>
        <w:jc w:val="both"/>
      </w:pPr>
      <w:r>
        <w:rPr>
          <w:color w:val="6E6158"/>
        </w:rPr>
        <w:t>We regularly counsel clients on a broad spectrum of general corporate and commercial matters, such as negotiating and drafting agreements, the formation of business entities, shareholder rights, and employment issues.</w:t>
      </w:r>
    </w:p>
    <w:p>
      <w:pPr>
        <w:pStyle w:val="BodyText"/>
        <w:spacing w:line="302" w:lineRule="auto" w:before="197"/>
        <w:ind w:right="95"/>
      </w:pPr>
      <w:r>
        <w:rPr>
          <w:color w:val="6E6158"/>
        </w:rPr>
        <w:t>Our tech attorneys also serve as counsel for numerous software development companies, both</w:t>
      </w:r>
      <w:r>
        <w:rPr>
          <w:color w:val="6E6158"/>
          <w:spacing w:val="40"/>
        </w:rPr>
        <w:t> </w:t>
      </w:r>
      <w:r>
        <w:rPr>
          <w:color w:val="6E6158"/>
        </w:rPr>
        <w:t>local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national,</w:t>
      </w:r>
      <w:r>
        <w:rPr>
          <w:color w:val="6E6158"/>
          <w:spacing w:val="16"/>
        </w:rPr>
        <w:t> </w:t>
      </w:r>
      <w:r>
        <w:rPr>
          <w:color w:val="6E6158"/>
        </w:rPr>
        <w:t>with</w:t>
      </w:r>
      <w:r>
        <w:rPr>
          <w:color w:val="6E6158"/>
          <w:spacing w:val="16"/>
        </w:rPr>
        <w:t> </w:t>
      </w:r>
      <w:r>
        <w:rPr>
          <w:color w:val="6E6158"/>
        </w:rPr>
        <w:t>respect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corporate,</w:t>
      </w:r>
      <w:r>
        <w:rPr>
          <w:color w:val="6E6158"/>
          <w:spacing w:val="16"/>
        </w:rPr>
        <w:t> </w:t>
      </w:r>
      <w:r>
        <w:rPr>
          <w:color w:val="6E6158"/>
        </w:rPr>
        <w:t>securities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intellectual</w:t>
      </w:r>
      <w:r>
        <w:rPr>
          <w:color w:val="6E6158"/>
          <w:spacing w:val="16"/>
        </w:rPr>
        <w:t> </w:t>
      </w:r>
      <w:r>
        <w:rPr>
          <w:color w:val="6E6158"/>
        </w:rPr>
        <w:t>property</w:t>
      </w:r>
      <w:r>
        <w:rPr>
          <w:color w:val="6E6158"/>
          <w:spacing w:val="16"/>
        </w:rPr>
        <w:t> </w:t>
      </w:r>
      <w:r>
        <w:rPr>
          <w:color w:val="6E6158"/>
        </w:rPr>
        <w:t>issues.</w:t>
      </w:r>
      <w:r>
        <w:rPr>
          <w:color w:val="6E6158"/>
          <w:spacing w:val="16"/>
        </w:rPr>
        <w:t> </w:t>
      </w:r>
      <w:r>
        <w:rPr>
          <w:color w:val="6E6158"/>
        </w:rPr>
        <w:t>This</w:t>
      </w:r>
      <w:r>
        <w:rPr>
          <w:color w:val="6E6158"/>
          <w:spacing w:val="16"/>
        </w:rPr>
        <w:t> </w:t>
      </w:r>
      <w:r>
        <w:rPr>
          <w:color w:val="6E6158"/>
        </w:rPr>
        <w:t>work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243"/>
      </w:pPr>
      <w:r>
        <w:rPr>
          <w:color w:val="6E6158"/>
        </w:rPr>
        <w:t>includes negotiating and drafting of acquisition agreements and licenses for software </w:t>
      </w:r>
      <w:r>
        <w:rPr>
          <w:color w:val="6E6158"/>
        </w:rPr>
        <w:t>products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securing</w:t>
      </w:r>
      <w:r>
        <w:rPr>
          <w:color w:val="6E6158"/>
          <w:spacing w:val="34"/>
        </w:rPr>
        <w:t> </w:t>
      </w:r>
      <w:r>
        <w:rPr>
          <w:color w:val="6E6158"/>
        </w:rPr>
        <w:t>copyright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common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protection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investment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high</w:t>
      </w:r>
      <w:r>
        <w:rPr>
          <w:color w:val="6E6158"/>
          <w:spacing w:val="34"/>
        </w:rPr>
        <w:t> </w:t>
      </w:r>
      <w:r>
        <w:rPr>
          <w:color w:val="6E6158"/>
        </w:rPr>
        <w:t>technology.</w:t>
      </w:r>
    </w:p>
    <w:p>
      <w:pPr>
        <w:pStyle w:val="Heading2"/>
        <w:spacing w:before="171"/>
      </w:pPr>
      <w:r>
        <w:rPr>
          <w:color w:val="FF8100"/>
        </w:rPr>
        <w:t>MERGERS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ACQUISITIONS</w:t>
      </w:r>
    </w:p>
    <w:p>
      <w:pPr>
        <w:pStyle w:val="BodyText"/>
        <w:spacing w:line="292" w:lineRule="auto" w:before="147"/>
        <w:ind w:right="243"/>
      </w:pPr>
      <w:r>
        <w:rPr>
          <w:color w:val="6E6158"/>
        </w:rPr>
        <w:t>We have a large and sophisticated mergers and acquisitions practice. We represent both purchasers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sellers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asset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stock</w:t>
      </w:r>
      <w:r>
        <w:rPr>
          <w:color w:val="6E6158"/>
          <w:spacing w:val="17"/>
        </w:rPr>
        <w:t> </w:t>
      </w:r>
      <w:r>
        <w:rPr>
          <w:color w:val="6E6158"/>
        </w:rPr>
        <w:t>acquisition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public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privately-held</w:t>
      </w:r>
      <w:r>
        <w:rPr>
          <w:color w:val="6E6158"/>
          <w:spacing w:val="35"/>
        </w:rPr>
        <w:t> </w:t>
      </w:r>
      <w:r>
        <w:rPr>
          <w:color w:val="6E6158"/>
        </w:rPr>
        <w:t>companies.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  <w:r>
        <w:rPr>
          <w:color w:val="6E6158"/>
          <w:spacing w:val="35"/>
        </w:rPr>
        <w:t> </w:t>
      </w:r>
      <w:r>
        <w:rPr>
          <w:color w:val="6E6158"/>
        </w:rPr>
        <w:t>work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diverse</w:t>
      </w:r>
      <w:r>
        <w:rPr>
          <w:color w:val="6E6158"/>
          <w:spacing w:val="35"/>
        </w:rPr>
        <w:t> </w:t>
      </w:r>
      <w:r>
        <w:rPr>
          <w:color w:val="6E6158"/>
        </w:rPr>
        <w:t>industries,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before="1"/>
      </w:pPr>
      <w:r>
        <w:rPr>
          <w:color w:val="6E6158"/>
        </w:rPr>
        <w:t>technology,</w:t>
      </w:r>
      <w:r>
        <w:rPr>
          <w:color w:val="6E6158"/>
          <w:spacing w:val="15"/>
        </w:rPr>
        <w:t> </w:t>
      </w:r>
      <w:r>
        <w:rPr>
          <w:color w:val="6E6158"/>
        </w:rPr>
        <w:t>basic</w:t>
      </w:r>
      <w:r>
        <w:rPr>
          <w:color w:val="6E6158"/>
          <w:spacing w:val="16"/>
        </w:rPr>
        <w:t> </w:t>
      </w:r>
      <w:r>
        <w:rPr>
          <w:color w:val="6E6158"/>
        </w:rPr>
        <w:t>materials,</w:t>
      </w:r>
      <w:r>
        <w:rPr>
          <w:color w:val="6E6158"/>
          <w:spacing w:val="16"/>
        </w:rPr>
        <w:t> </w:t>
      </w:r>
      <w:r>
        <w:rPr>
          <w:color w:val="6E6158"/>
        </w:rPr>
        <w:t>utilities,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consumer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products.</w:t>
      </w:r>
    </w:p>
    <w:p>
      <w:pPr>
        <w:pStyle w:val="BodyText"/>
        <w:spacing w:before="23"/>
        <w:ind w:left="0"/>
      </w:pPr>
    </w:p>
    <w:p>
      <w:pPr>
        <w:pStyle w:val="BodyText"/>
        <w:spacing w:line="295" w:lineRule="auto"/>
        <w:ind w:right="349"/>
      </w:pPr>
      <w:r>
        <w:rPr>
          <w:color w:val="6E6158"/>
        </w:rPr>
        <w:t>Our clients are often based in regions where we have offices, but not always. We represent</w:t>
      </w:r>
      <w:r>
        <w:rPr>
          <w:color w:val="6E6158"/>
          <w:spacing w:val="40"/>
        </w:rPr>
        <w:t> </w:t>
      </w:r>
      <w:r>
        <w:rPr>
          <w:color w:val="6E6158"/>
        </w:rPr>
        <w:t>clients involved in transactions throughout the United States and North America. As required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specific transactions, we involve our other attorneys in the areas of securities, tax law, ERISA,</w:t>
      </w:r>
      <w:r>
        <w:rPr>
          <w:color w:val="6E6158"/>
          <w:spacing w:val="40"/>
        </w:rPr>
        <w:t> </w:t>
      </w:r>
      <w:r>
        <w:rPr>
          <w:color w:val="6E6158"/>
        </w:rPr>
        <w:t>environmental, real property, financial institutions, antitrust, labor and employment law, and</w:t>
      </w:r>
      <w:r>
        <w:rPr>
          <w:color w:val="6E6158"/>
          <w:spacing w:val="80"/>
        </w:rPr>
        <w:t> </w:t>
      </w:r>
      <w:r>
        <w:rPr>
          <w:color w:val="6E6158"/>
        </w:rPr>
        <w:t>other relevant areas of federal and state law.</w:t>
      </w:r>
    </w:p>
    <w:p>
      <w:pPr>
        <w:pStyle w:val="Heading2"/>
      </w:pPr>
      <w:r>
        <w:rPr>
          <w:color w:val="FF8100"/>
        </w:rPr>
        <w:t>NONPROFIT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TAX-EXEMPT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ORGANIZATIONS</w:t>
      </w:r>
    </w:p>
    <w:p>
      <w:pPr>
        <w:pStyle w:val="BodyText"/>
        <w:spacing w:line="292" w:lineRule="auto" w:before="146"/>
        <w:ind w:right="211"/>
      </w:pPr>
      <w:r>
        <w:rPr>
          <w:color w:val="6E6158"/>
        </w:rPr>
        <w:t>Our nonprofit attorneys have represented many of the nonprofit and tax-exempt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that have shaped the Southwest for decades.</w:t>
      </w:r>
    </w:p>
    <w:p>
      <w:pPr>
        <w:pStyle w:val="BodyText"/>
        <w:spacing w:line="295" w:lineRule="auto" w:before="205"/>
        <w:ind w:right="95"/>
      </w:pPr>
      <w:r>
        <w:rPr>
          <w:color w:val="6E6158"/>
        </w:rPr>
        <w:t>Now more than ever, tax-exempt organizations face a high level of regulation and scrutiny. Escalating oversight from the IRS, Congress, state regulators, watchdog groups, and the media</w:t>
      </w:r>
      <w:r>
        <w:rPr>
          <w:color w:val="6E6158"/>
          <w:spacing w:val="40"/>
        </w:rPr>
        <w:t> </w:t>
      </w:r>
      <w:r>
        <w:rPr>
          <w:color w:val="6E6158"/>
        </w:rPr>
        <w:t>require nonprofit leaders to address a gauntlet of changing nonprofit law and regulations. At the</w:t>
      </w:r>
      <w:r>
        <w:rPr>
          <w:color w:val="6E6158"/>
          <w:spacing w:val="40"/>
        </w:rPr>
        <w:t> </w:t>
      </w:r>
      <w:r>
        <w:rPr>
          <w:color w:val="6E6158"/>
        </w:rPr>
        <w:t>same</w:t>
      </w:r>
      <w:r>
        <w:rPr>
          <w:color w:val="6E6158"/>
          <w:spacing w:val="32"/>
        </w:rPr>
        <w:t> </w:t>
      </w:r>
      <w:r>
        <w:rPr>
          <w:color w:val="6E6158"/>
        </w:rPr>
        <w:t>time,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</w:t>
      </w:r>
      <w:r>
        <w:rPr>
          <w:color w:val="6E6158"/>
          <w:spacing w:val="32"/>
        </w:rPr>
        <w:t> </w:t>
      </w:r>
      <w:r>
        <w:rPr>
          <w:color w:val="6E6158"/>
        </w:rPr>
        <w:t>are</w:t>
      </w:r>
      <w:r>
        <w:rPr>
          <w:color w:val="6E6158"/>
          <w:spacing w:val="32"/>
        </w:rPr>
        <w:t> </w:t>
      </w:r>
      <w:r>
        <w:rPr>
          <w:color w:val="6E6158"/>
        </w:rPr>
        <w:t>expected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be</w:t>
      </w:r>
      <w:r>
        <w:rPr>
          <w:color w:val="6E6158"/>
          <w:spacing w:val="32"/>
        </w:rPr>
        <w:t> </w:t>
      </w:r>
      <w:r>
        <w:rPr>
          <w:color w:val="6E6158"/>
        </w:rPr>
        <w:t>more</w:t>
      </w:r>
      <w:r>
        <w:rPr>
          <w:color w:val="6E6158"/>
          <w:spacing w:val="32"/>
        </w:rPr>
        <w:t> </w:t>
      </w:r>
      <w:r>
        <w:rPr>
          <w:color w:val="6E6158"/>
        </w:rPr>
        <w:t>transparent</w:t>
      </w:r>
      <w:r>
        <w:rPr>
          <w:color w:val="6E6158"/>
          <w:spacing w:val="32"/>
        </w:rPr>
        <w:t> </w:t>
      </w:r>
      <w:r>
        <w:rPr>
          <w:color w:val="6E6158"/>
        </w:rPr>
        <w:t>than</w:t>
      </w:r>
      <w:r>
        <w:rPr>
          <w:color w:val="6E6158"/>
          <w:spacing w:val="32"/>
        </w:rPr>
        <w:t> </w:t>
      </w:r>
      <w:r>
        <w:rPr>
          <w:color w:val="6E6158"/>
        </w:rPr>
        <w:t>ever</w:t>
      </w:r>
      <w:r>
        <w:rPr>
          <w:color w:val="6E6158"/>
          <w:spacing w:val="32"/>
        </w:rPr>
        <w:t> </w:t>
      </w:r>
      <w:r>
        <w:rPr>
          <w:color w:val="6E6158"/>
        </w:rPr>
        <w:t>before and to adhere to evolving best practices.</w:t>
      </w:r>
    </w:p>
    <w:p>
      <w:pPr>
        <w:pStyle w:val="Heading2"/>
      </w:pPr>
      <w:r>
        <w:rPr>
          <w:color w:val="FF8100"/>
        </w:rPr>
        <w:t>PRIVATE</w:t>
      </w:r>
      <w:r>
        <w:rPr>
          <w:color w:val="FF8100"/>
          <w:spacing w:val="7"/>
        </w:rPr>
        <w:t> </w:t>
      </w:r>
      <w:r>
        <w:rPr>
          <w:color w:val="FF8100"/>
        </w:rPr>
        <w:t>EQUITY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SECURITIES</w:t>
      </w:r>
    </w:p>
    <w:p>
      <w:pPr>
        <w:pStyle w:val="BodyText"/>
        <w:spacing w:line="297" w:lineRule="auto" w:before="146"/>
        <w:ind w:right="243"/>
      </w:pPr>
      <w:r>
        <w:rPr>
          <w:color w:val="6E6158"/>
        </w:rPr>
        <w:t>We provide clients with a broad range of transactional expertise in combination with experience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capital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fundraising</w:t>
      </w:r>
      <w:r>
        <w:rPr>
          <w:color w:val="6E6158"/>
          <w:spacing w:val="29"/>
        </w:rPr>
        <w:t> </w:t>
      </w:r>
      <w:r>
        <w:rPr>
          <w:color w:val="6E6158"/>
        </w:rPr>
        <w:t>activities.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advise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stages</w:t>
      </w:r>
      <w:r>
        <w:rPr>
          <w:color w:val="6E6158"/>
          <w:spacing w:val="29"/>
        </w:rPr>
        <w:t> </w:t>
      </w:r>
      <w:r>
        <w:rPr>
          <w:color w:val="6E6158"/>
        </w:rPr>
        <w:t>of private</w:t>
      </w:r>
      <w:r>
        <w:rPr>
          <w:color w:val="6E6158"/>
          <w:spacing w:val="37"/>
        </w:rPr>
        <w:t> </w:t>
      </w:r>
      <w:r>
        <w:rPr>
          <w:color w:val="6E6158"/>
        </w:rPr>
        <w:t>equity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debt</w:t>
      </w:r>
      <w:r>
        <w:rPr>
          <w:color w:val="6E6158"/>
          <w:spacing w:val="37"/>
        </w:rPr>
        <w:t> </w:t>
      </w:r>
      <w:r>
        <w:rPr>
          <w:color w:val="6E6158"/>
        </w:rPr>
        <w:t>financing</w:t>
      </w:r>
      <w:r>
        <w:rPr>
          <w:color w:val="6E6158"/>
          <w:spacing w:val="37"/>
        </w:rPr>
        <w:t> </w:t>
      </w:r>
      <w:r>
        <w:rPr>
          <w:color w:val="6E6158"/>
        </w:rPr>
        <w:t>needs,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entrepreneurial</w:t>
      </w:r>
      <w:r>
        <w:rPr>
          <w:color w:val="6E6158"/>
          <w:spacing w:val="37"/>
        </w:rPr>
        <w:t> </w:t>
      </w:r>
      <w:r>
        <w:rPr>
          <w:color w:val="6E6158"/>
        </w:rPr>
        <w:t>startups,</w:t>
      </w:r>
      <w:r>
        <w:rPr>
          <w:color w:val="6E6158"/>
          <w:spacing w:val="37"/>
        </w:rPr>
        <w:t> </w:t>
      </w:r>
      <w:r>
        <w:rPr>
          <w:color w:val="6E6158"/>
        </w:rPr>
        <w:t>early</w:t>
      </w:r>
      <w:r>
        <w:rPr>
          <w:color w:val="6E6158"/>
          <w:spacing w:val="37"/>
        </w:rPr>
        <w:t> </w:t>
      </w:r>
      <w:r>
        <w:rPr>
          <w:color w:val="6E6158"/>
        </w:rPr>
        <w:t>stage,</w:t>
      </w:r>
    </w:p>
    <w:p>
      <w:pPr>
        <w:pStyle w:val="BodyText"/>
        <w:spacing w:line="292" w:lineRule="auto"/>
        <w:ind w:right="243"/>
      </w:pPr>
      <w:r>
        <w:rPr>
          <w:color w:val="6E6158"/>
        </w:rPr>
        <w:t>emerging, growth equity and troubled companies. Our clients include a wide array of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such as technology, e-commerce, financial services, health care, hotels, manufacturing,</w:t>
      </w:r>
      <w:r>
        <w:rPr>
          <w:color w:val="6E6158"/>
          <w:spacing w:val="40"/>
        </w:rPr>
        <w:t> </w:t>
      </w:r>
      <w:r>
        <w:rPr>
          <w:color w:val="6E6158"/>
        </w:rPr>
        <w:t>professional sports, real estate, recycling, and software.</w:t>
      </w:r>
    </w:p>
    <w:p>
      <w:pPr>
        <w:pStyle w:val="BodyText"/>
        <w:spacing w:line="295" w:lineRule="auto" w:before="202"/>
        <w:ind w:right="252"/>
      </w:pPr>
      <w:r>
        <w:rPr>
          <w:color w:val="6E6158"/>
        </w:rPr>
        <w:t>Our practice group encompasses a broad range of private securities offerings, including both</w:t>
      </w:r>
      <w:r>
        <w:rPr>
          <w:color w:val="6E6158"/>
          <w:spacing w:val="40"/>
        </w:rPr>
        <w:t> </w:t>
      </w:r>
      <w:r>
        <w:rPr>
          <w:color w:val="6E6158"/>
        </w:rPr>
        <w:t>debt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equity</w:t>
      </w:r>
      <w:r>
        <w:rPr>
          <w:color w:val="6E6158"/>
          <w:spacing w:val="32"/>
        </w:rPr>
        <w:t> </w:t>
      </w:r>
      <w:r>
        <w:rPr>
          <w:color w:val="6E6158"/>
        </w:rPr>
        <w:t>financings.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this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advise issuers in private offerings undertaken either by issuers or through private placement agents. As</w:t>
      </w:r>
      <w:r>
        <w:rPr>
          <w:color w:val="6E6158"/>
          <w:spacing w:val="40"/>
        </w:rPr>
        <w:t> </w:t>
      </w:r>
      <w:r>
        <w:rPr>
          <w:color w:val="6E6158"/>
        </w:rPr>
        <w:t>part of the offering process, the practice group advises clients on the structuring of the offering,</w:t>
      </w:r>
      <w:r>
        <w:rPr>
          <w:color w:val="6E6158"/>
          <w:spacing w:val="40"/>
        </w:rPr>
        <w:t> </w:t>
      </w:r>
      <w:r>
        <w:rPr>
          <w:color w:val="6E6158"/>
        </w:rPr>
        <w:t>assist in the drafting of transaction/offering documents, and compliance with securities laws,</w:t>
      </w:r>
      <w:r>
        <w:rPr>
          <w:color w:val="6E6158"/>
          <w:spacing w:val="40"/>
        </w:rPr>
        <w:t> </w:t>
      </w:r>
      <w:r>
        <w:rPr>
          <w:color w:val="6E6158"/>
        </w:rPr>
        <w:t>including the availability of exemptions from registration and qualification under federal and</w:t>
      </w:r>
      <w:r>
        <w:rPr>
          <w:color w:val="6E6158"/>
          <w:spacing w:val="80"/>
        </w:rPr>
        <w:t> </w:t>
      </w:r>
      <w:r>
        <w:rPr>
          <w:color w:val="6E6158"/>
        </w:rPr>
        <w:t>state securities laws. The group also represents issuers in private placements of equity to foreign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29"/>
        </w:rPr>
        <w:t> </w:t>
      </w:r>
      <w:r>
        <w:rPr>
          <w:color w:val="6E6158"/>
        </w:rPr>
        <w:t>under</w:t>
      </w:r>
      <w:r>
        <w:rPr>
          <w:color w:val="6E6158"/>
          <w:spacing w:val="29"/>
        </w:rPr>
        <w:t> </w:t>
      </w:r>
      <w:r>
        <w:rPr>
          <w:color w:val="6E6158"/>
        </w:rPr>
        <w:t>Regulation</w:t>
      </w:r>
      <w:r>
        <w:rPr>
          <w:color w:val="6E6158"/>
          <w:spacing w:val="29"/>
        </w:rPr>
        <w:t> </w:t>
      </w:r>
      <w:r>
        <w:rPr>
          <w:color w:val="6E6158"/>
        </w:rPr>
        <w:t>S.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firm’s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offering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includes</w:t>
      </w:r>
      <w:r>
        <w:rPr>
          <w:color w:val="6E6158"/>
          <w:spacing w:val="29"/>
        </w:rPr>
        <w:t> </w:t>
      </w:r>
      <w:r>
        <w:rPr>
          <w:color w:val="6E6158"/>
        </w:rPr>
        <w:t>handling</w:t>
      </w:r>
      <w:r>
        <w:rPr>
          <w:color w:val="6E6158"/>
          <w:spacing w:val="29"/>
        </w:rPr>
        <w:t> </w:t>
      </w:r>
      <w:r>
        <w:rPr>
          <w:color w:val="6E6158"/>
        </w:rPr>
        <w:t>common</w:t>
      </w:r>
    </w:p>
    <w:p>
      <w:pPr>
        <w:pStyle w:val="BodyText"/>
        <w:spacing w:line="292" w:lineRule="auto" w:before="2"/>
        <w:ind w:right="95"/>
      </w:pPr>
      <w:r>
        <w:rPr>
          <w:color w:val="6E6158"/>
        </w:rPr>
        <w:t>stock, preferred stock, convertible preferred stock, stock options and warrants, interests in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partnerships, limited liability partnerships, limited liability companies, subordinated notes and</w:t>
      </w:r>
      <w:r>
        <w:rPr>
          <w:color w:val="6E6158"/>
          <w:spacing w:val="40"/>
        </w:rPr>
        <w:t> </w:t>
      </w:r>
      <w:r>
        <w:rPr>
          <w:color w:val="6E6158"/>
        </w:rPr>
        <w:t>indentured debt securities.</w:t>
      </w:r>
    </w:p>
    <w:p>
      <w:pPr>
        <w:pStyle w:val="BodyText"/>
        <w:spacing w:line="292" w:lineRule="auto" w:before="205"/>
      </w:pPr>
      <w:r>
        <w:rPr>
          <w:color w:val="6E6158"/>
        </w:rPr>
        <w:t>Our attorneys regularly work with other practice groups in order to provide clients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comprehensive,</w:t>
      </w:r>
      <w:r>
        <w:rPr>
          <w:color w:val="6E6158"/>
          <w:spacing w:val="15"/>
        </w:rPr>
        <w:t> </w:t>
      </w:r>
      <w:r>
        <w:rPr>
          <w:color w:val="6E6158"/>
        </w:rPr>
        <w:t>team-oriented</w:t>
      </w:r>
      <w:r>
        <w:rPr>
          <w:color w:val="6E6158"/>
          <w:spacing w:val="16"/>
        </w:rPr>
        <w:t> </w:t>
      </w:r>
      <w:r>
        <w:rPr>
          <w:color w:val="6E6158"/>
        </w:rPr>
        <w:t>approach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address</w:t>
      </w:r>
      <w:r>
        <w:rPr>
          <w:color w:val="6E6158"/>
          <w:spacing w:val="16"/>
        </w:rPr>
        <w:t> </w:t>
      </w:r>
      <w:r>
        <w:rPr>
          <w:color w:val="6E6158"/>
        </w:rPr>
        <w:t>their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needs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strategies.</w:t>
      </w:r>
    </w:p>
    <w:p>
      <w:pPr>
        <w:pStyle w:val="Heading2"/>
        <w:spacing w:before="163"/>
      </w:pPr>
      <w:r>
        <w:rPr>
          <w:color w:val="FF8100"/>
        </w:rPr>
        <w:t>SPORTS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6"/>
        <w:ind w:right="95"/>
      </w:pPr>
      <w:r>
        <w:rPr>
          <w:color w:val="6E6158"/>
        </w:rPr>
        <w:t>Our sports law attorneys include a team of professionals with experience representing </w:t>
      </w:r>
      <w:r>
        <w:rPr>
          <w:color w:val="6E6158"/>
        </w:rPr>
        <w:t>individual</w:t>
      </w:r>
      <w:r>
        <w:rPr>
          <w:color w:val="6E6158"/>
          <w:spacing w:val="40"/>
        </w:rPr>
        <w:t> </w:t>
      </w:r>
      <w:r>
        <w:rPr>
          <w:color w:val="6E6158"/>
        </w:rPr>
        <w:t>athletes, teams, and owners or operators of professional sports facilities.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243"/>
      </w:pPr>
      <w:r>
        <w:rPr>
          <w:color w:val="6E6158"/>
        </w:rPr>
        <w:t>Our priority is to protect our clients’ valuable assets and guide good decision-making, </w:t>
      </w:r>
      <w:r>
        <w:rPr>
          <w:color w:val="6E6158"/>
        </w:rPr>
        <w:t>personally</w:t>
      </w:r>
      <w:r>
        <w:rPr>
          <w:color w:val="6E6158"/>
          <w:spacing w:val="40"/>
        </w:rPr>
        <w:t> </w:t>
      </w:r>
      <w:r>
        <w:rPr>
          <w:color w:val="6E6158"/>
        </w:rPr>
        <w:t>and professionally, discreetly and confidentially. Our sports attorneys represent professional</w:t>
      </w:r>
      <w:r>
        <w:rPr>
          <w:color w:val="6E6158"/>
          <w:spacing w:val="40"/>
        </w:rPr>
        <w:t> </w:t>
      </w:r>
      <w:r>
        <w:rPr>
          <w:color w:val="6E6158"/>
        </w:rPr>
        <w:t>athletes (NFL, MLB, NBA, PGA, NHL, UFC, Nevada Athletic Commission, equestrians and boxing),</w:t>
      </w:r>
      <w:r>
        <w:rPr>
          <w:color w:val="6E6158"/>
          <w:spacing w:val="40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organizations,</w:t>
      </w:r>
      <w:r>
        <w:rPr>
          <w:color w:val="6E6158"/>
          <w:spacing w:val="33"/>
        </w:rPr>
        <w:t> </w:t>
      </w:r>
      <w:r>
        <w:rPr>
          <w:color w:val="6E6158"/>
        </w:rPr>
        <w:t>teams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professional</w:t>
      </w:r>
      <w:r>
        <w:rPr>
          <w:color w:val="6E6158"/>
          <w:spacing w:val="33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facilities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variety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matters.</w:t>
      </w:r>
    </w:p>
    <w:p>
      <w:pPr>
        <w:pStyle w:val="BodyText"/>
        <w:spacing w:before="197"/>
      </w:pP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services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individual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3"/>
        </w:rPr>
        <w:t> </w:t>
      </w:r>
      <w:r>
        <w:rPr>
          <w:color w:val="6E6158"/>
        </w:rPr>
        <w:t>professionals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14"/>
        <w:ind w:left="0"/>
      </w:pPr>
    </w:p>
    <w:p>
      <w:pPr>
        <w:pStyle w:val="BodyText"/>
        <w:spacing w:line="422" w:lineRule="auto"/>
        <w:ind w:left="351" w:right="4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64742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7801pt;width:1.65pt;height:1.65pt;mso-position-horizontal-relative:page;mso-position-vertical-relative:paragraph;z-index:15736320" id="docshape19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323107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1551pt;width:1.65pt;height:1.65pt;mso-position-horizontal-relative:page;mso-position-vertical-relative:paragraph;z-index:15736832" id="docshape20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581473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85301pt;width:1.65pt;height:1.65pt;mso-position-horizontal-relative:page;mso-position-vertical-relative:paragraph;z-index:15737344" id="docshape21" coordorigin="1670,916" coordsize="33,33" path="m1691,948l1682,948,1678,947,1671,940,1670,936,1670,927,1671,924,1678,917,1682,916,1691,916,1694,917,1701,924,1702,927,1702,932,1702,936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Due diligence in business partnerships and deals Player or coach contracts and talent </w:t>
      </w:r>
      <w:r>
        <w:rPr>
          <w:color w:val="6E6158"/>
        </w:rPr>
        <w:t>agreements Employment agreements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63957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027pt;width:1.65pt;height:1.65pt;mso-position-horizontal-relative:page;mso-position-vertical-relative:paragraph;z-index:15737856" id="docshape22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Agent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175181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798pt;width:1.65pt;height:1.65pt;mso-position-horizontal-relative:page;mso-position-vertical-relative:paragraph;z-index:15738368" id="docshape2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Celebrity</w:t>
      </w:r>
      <w:r>
        <w:rPr>
          <w:color w:val="6E6158"/>
          <w:spacing w:val="18"/>
        </w:rPr>
        <w:t> </w:t>
      </w:r>
      <w:r>
        <w:rPr>
          <w:color w:val="6E6158"/>
        </w:rPr>
        <w:t>endorsements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promotion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420" w:lineRule="auto" w:before="182"/>
        <w:ind w:left="351" w:right="3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175130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841pt;width:1.65pt;height:1.65pt;mso-position-horizontal-relative:page;mso-position-vertical-relative:paragraph;z-index:15738880" id="docshape2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438663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0451pt;width:1.65pt;height:1.65pt;mso-position-horizontal-relative:page;mso-position-vertical-relative:paragraph;z-index:15739392" id="docshape25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Prenuptial, postnuptial agreements and estate </w:t>
      </w:r>
      <w:r>
        <w:rPr>
          <w:color w:val="6E6158"/>
        </w:rPr>
        <w:t>planning Charitable foundations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63718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231pt;width:1.65pt;height:1.65pt;mso-position-horizontal-relative:page;mso-position-vertical-relative:paragraph;z-index:15739904" id="docshape2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income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taxes</w:t>
      </w:r>
    </w:p>
    <w:p>
      <w:pPr>
        <w:pStyle w:val="BodyText"/>
        <w:spacing w:line="422" w:lineRule="auto" w:before="174"/>
        <w:ind w:left="351" w:right="4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175167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745pt;width:1.65pt;height:1.65pt;mso-position-horizontal-relative:page;mso-position-vertical-relative:paragraph;z-index:15740416" id="docshape2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433533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494pt;width:1.65pt;height:1.65pt;mso-position-horizontal-relative:page;mso-position-vertical-relative:paragraph;z-index:15740928" id="docshape28" coordorigin="1670,683" coordsize="33,33" path="m1691,715l1682,715,1678,714,1671,707,1670,703,1670,695,1671,691,1678,684,1682,683,1691,683,1694,684,1701,691,1702,695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697066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87089pt;width:1.65pt;height:1.65pt;mso-position-horizontal-relative:page;mso-position-vertical-relative:paragraph;z-index:15741440" id="docshape29" coordorigin="1670,1098" coordsize="33,33" path="m1691,1130l1682,1130,1678,1129,1671,1122,1670,1119,1670,1110,1671,1106,1678,1099,1682,1098,1691,1098,1694,1099,1701,1106,1702,1110,1702,1114,1702,1119,1701,1122,1694,1129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Luxury home construction and purchase </w:t>
      </w:r>
      <w:r>
        <w:rPr>
          <w:color w:val="6E6158"/>
        </w:rPr>
        <w:t>contracts Personal injury and insurance coverage litigation Salary arbitrations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63893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953pt;width:1.65pt;height:1.65pt;mso-position-horizontal-relative:page;mso-position-vertical-relative:paragraph;z-index:15741952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Collusion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claims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175117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741pt;width:1.65pt;height:1.65pt;mso-position-horizontal-relative:page;mso-position-vertical-relative:paragraph;z-index:15742464" id="docshape3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copyright</w:t>
      </w:r>
      <w:r>
        <w:rPr>
          <w:color w:val="6E6158"/>
          <w:spacing w:val="14"/>
        </w:rPr>
        <w:t> </w:t>
      </w:r>
      <w:r>
        <w:rPr>
          <w:color w:val="6E6158"/>
        </w:rPr>
        <w:t>counseling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protection</w:t>
      </w:r>
    </w:p>
    <w:p>
      <w:pPr>
        <w:pStyle w:val="BodyText"/>
        <w:spacing w:line="420" w:lineRule="auto" w:before="174"/>
        <w:ind w:left="351" w:right="9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169986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4784pt;width:1.65pt;height:1.65pt;mso-position-horizontal-relative:page;mso-position-vertical-relative:paragraph;z-index:15742976" id="docshape32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433519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384pt;width:1.65pt;height:1.65pt;mso-position-horizontal-relative:page;mso-position-vertical-relative:paragraph;z-index:15743488" id="docshape3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Our sports law services for professional teams and sports organizations </w:t>
      </w:r>
      <w:r>
        <w:rPr>
          <w:color w:val="6E6158"/>
        </w:rPr>
        <w:t>include: Concession and facility management agreements</w:t>
      </w:r>
    </w:p>
    <w:p>
      <w:pPr>
        <w:pStyle w:val="BodyText"/>
        <w:spacing w:line="427" w:lineRule="auto"/>
        <w:ind w:left="351" w:right="4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63654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157pt;width:1.65pt;height:1.65pt;mso-position-horizontal-relative:page;mso-position-vertical-relative:paragraph;z-index:15744000" id="docshape3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322019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590pt;width:1.65pt;height:1.65pt;mso-position-horizontal-relative:page;mso-position-vertical-relative:paragraph;z-index:15744512" id="docshape35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Facility siting, development and </w:t>
      </w:r>
      <w:r>
        <w:rPr>
          <w:color w:val="6E6158"/>
        </w:rPr>
        <w:t>construction Support agreements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53769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33838pt;width:1.65pt;height:1.65pt;mso-position-horizontal-relative:page;mso-position-vertical-relative:paragraph;z-index:15745024" id="docshape36" coordorigin="1670,85" coordsize="33,33" path="m1691,117l1682,117,1678,116,1671,109,1670,105,1670,96,1671,93,1678,86,1682,85,1691,85,1694,86,1701,93,1702,96,1702,101,1702,105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Tax-exempt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taxable</w:t>
      </w:r>
      <w:r>
        <w:rPr>
          <w:color w:val="6E6158"/>
          <w:spacing w:val="12"/>
        </w:rPr>
        <w:t> </w:t>
      </w:r>
      <w:r>
        <w:rPr>
          <w:color w:val="6E6158"/>
        </w:rPr>
        <w:t>project</w:t>
      </w:r>
      <w:r>
        <w:rPr>
          <w:color w:val="6E6158"/>
          <w:spacing w:val="12"/>
        </w:rPr>
        <w:t> </w:t>
      </w:r>
      <w:r>
        <w:rPr>
          <w:color w:val="6E6158"/>
        </w:rPr>
        <w:t>bond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line="420" w:lineRule="auto" w:before="172"/>
        <w:ind w:left="351" w:right="3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174093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8163pt;width:1.65pt;height:1.65pt;mso-position-horizontal-relative:page;mso-position-vertical-relative:paragraph;z-index:15745536" id="docshape37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432459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51907pt;width:1.65pt;height:1.65pt;mso-position-horizontal-relative:page;mso-position-vertical-relative:paragraph;z-index:15746048" id="docshape38" coordorigin="1670,681" coordsize="33,33" path="m1691,714l1682,714,1678,712,1671,706,1670,702,1670,693,1671,689,1678,683,1682,681,1691,681,1694,683,1701,689,1702,693,1702,697,1702,702,1701,706,1694,712,1691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Term loan facilities and revolving lines of credit loan </w:t>
      </w:r>
      <w:r>
        <w:rPr>
          <w:color w:val="6E6158"/>
        </w:rPr>
        <w:t>facilities License or use agreements by major tenants</w:t>
      </w:r>
    </w:p>
    <w:p>
      <w:pPr>
        <w:pStyle w:val="BodyText"/>
        <w:spacing w:line="420" w:lineRule="auto" w:before="7"/>
        <w:ind w:left="351" w:right="9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63864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681pt;width:1.65pt;height:1.65pt;mso-position-horizontal-relative:page;mso-position-vertical-relative:paragraph;z-index:15746560" id="docshape3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327399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7949pt;width:1.65pt;height:1.65pt;mso-position-horizontal-relative:page;mso-position-vertical-relative:paragraph;z-index:15747072" id="docshape40" coordorigin="1670,516" coordsize="33,33" path="m1691,548l1682,548,1678,547,1671,540,1670,536,1670,527,1671,524,1678,517,1682,516,1691,516,1694,517,1701,524,1702,527,1702,532,1702,536,1701,540,1694,547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Luxury suite agreements, club and special seating, advertising, and ticket </w:t>
      </w:r>
      <w:r>
        <w:rPr>
          <w:color w:val="6E6158"/>
        </w:rPr>
        <w:t>policies Public or private partnerships</w:t>
      </w:r>
    </w:p>
    <w:p>
      <w:pPr>
        <w:pStyle w:val="BodyText"/>
        <w:spacing w:line="420" w:lineRule="auto"/>
        <w:ind w:left="351" w:right="3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63579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6264pt;width:1.65pt;height:1.65pt;mso-position-horizontal-relative:page;mso-position-vertical-relative:paragraph;z-index:15747584" id="docshape4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321945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0031pt;width:1.65pt;height:1.65pt;mso-position-horizontal-relative:page;mso-position-vertical-relative:paragraph;z-index:15748096" id="docshape42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Preferred provider, major sponsorship and naming </w:t>
      </w:r>
      <w:r>
        <w:rPr>
          <w:color w:val="6E6158"/>
        </w:rPr>
        <w:t>rights Sports franchise general representation</w:t>
      </w:r>
    </w:p>
    <w:p>
      <w:pPr>
        <w:pStyle w:val="BodyText"/>
        <w:spacing w:before="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62570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6806pt;width:1.65pt;height:1.65pt;mso-position-horizontal-relative:page;mso-position-vertical-relative:paragraph;z-index:15748608" id="docshape43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Foul</w:t>
      </w:r>
      <w:r>
        <w:rPr>
          <w:color w:val="6E6158"/>
          <w:spacing w:val="14"/>
        </w:rPr>
        <w:t> </w:t>
      </w:r>
      <w:r>
        <w:rPr>
          <w:color w:val="6E6158"/>
        </w:rPr>
        <w:t>ball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stadium-related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defense</w:t>
      </w:r>
    </w:p>
    <w:p>
      <w:pPr>
        <w:pStyle w:val="Heading2"/>
        <w:spacing w:before="213"/>
      </w:pPr>
      <w:r>
        <w:rPr>
          <w:color w:val="FF8100"/>
        </w:rPr>
        <w:t>TAX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5" w:lineRule="auto" w:before="147"/>
        <w:ind w:right="152"/>
      </w:pPr>
      <w:r>
        <w:rPr>
          <w:color w:val="6E6158"/>
        </w:rPr>
        <w:t>A number of our business and finance attorneys also have substantial experience and</w:t>
      </w:r>
      <w:r>
        <w:rPr>
          <w:color w:val="6E6158"/>
          <w:spacing w:val="40"/>
        </w:rPr>
        <w:t> </w:t>
      </w:r>
      <w:r>
        <w:rPr>
          <w:color w:val="6E6158"/>
        </w:rPr>
        <w:t>qualifications related to federal, state and local tax matters. In addition, our </w:t>
      </w:r>
      <w:hyperlink r:id="rId23">
        <w:r>
          <w:rPr>
            <w:color w:val="FF8100"/>
            <w:u w:val="single" w:color="6E6158"/>
          </w:rPr>
          <w:t>tax attorneys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who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focus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on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matters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involving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income,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sales,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property,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gift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taxes.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Our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business,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finance and tax attorneys work together to structure business transactions as efficiently as possible from a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tax perspective.</w:t>
      </w:r>
    </w:p>
    <w:p>
      <w:pPr>
        <w:pStyle w:val="Heading2"/>
        <w:spacing w:before="160"/>
      </w:pPr>
      <w:r>
        <w:rPr>
          <w:color w:val="FF8100"/>
        </w:rPr>
        <w:t>FUNERAL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10"/>
        </w:rPr>
        <w:t> </w:t>
      </w:r>
      <w:r>
        <w:rPr>
          <w:color w:val="FF8100"/>
        </w:rPr>
        <w:t>CEMETERY</w:t>
      </w:r>
      <w:r>
        <w:rPr>
          <w:color w:val="FF8100"/>
          <w:spacing w:val="10"/>
        </w:rPr>
        <w:t> </w:t>
      </w:r>
      <w:r>
        <w:rPr>
          <w:color w:val="FF8100"/>
          <w:spacing w:val="-5"/>
        </w:rPr>
        <w:t>LAW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349"/>
      </w:pPr>
      <w:r>
        <w:rPr>
          <w:color w:val="6E6158"/>
        </w:rPr>
        <w:t>We have been proudly serving the funeral and cemetery industry for over two decades throughout California. Our seasoned team regularly guides clients through all aspects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funeral and cemetery industry, including regulatory compliance, pre-need guidance,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sales,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review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preparation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documentation</w:t>
      </w:r>
      <w:r>
        <w:rPr>
          <w:color w:val="6E6158"/>
          <w:spacing w:val="28"/>
        </w:rPr>
        <w:t> </w:t>
      </w:r>
      <w:r>
        <w:rPr>
          <w:color w:val="6E6158"/>
        </w:rPr>
        <w:t>used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</w:p>
    <w:p>
      <w:pPr>
        <w:pStyle w:val="BodyText"/>
        <w:spacing w:line="292" w:lineRule="auto" w:before="2"/>
        <w:ind w:right="95"/>
      </w:pPr>
      <w:r>
        <w:rPr>
          <w:color w:val="6E6158"/>
        </w:rPr>
        <w:t>business. Our extensive experience in the funeral and cemetery industry combined with our </w:t>
      </w:r>
      <w:r>
        <w:rPr>
          <w:color w:val="6E6158"/>
        </w:rPr>
        <w:t>firm’s</w:t>
      </w:r>
      <w:r>
        <w:rPr>
          <w:color w:val="6E6158"/>
          <w:spacing w:val="40"/>
        </w:rPr>
        <w:t> </w:t>
      </w:r>
      <w:r>
        <w:rPr>
          <w:color w:val="6E6158"/>
        </w:rPr>
        <w:t>broad</w:t>
      </w:r>
      <w:r>
        <w:rPr>
          <w:color w:val="6E6158"/>
          <w:spacing w:val="27"/>
        </w:rPr>
        <w:t> </w:t>
      </w:r>
      <w:r>
        <w:rPr>
          <w:color w:val="6E6158"/>
        </w:rPr>
        <w:t>base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areas,</w:t>
      </w:r>
      <w:r>
        <w:rPr>
          <w:color w:val="6E6158"/>
          <w:spacing w:val="27"/>
        </w:rPr>
        <w:t> </w:t>
      </w:r>
      <w:r>
        <w:rPr>
          <w:color w:val="6E6158"/>
        </w:rPr>
        <w:t>including,</w:t>
      </w:r>
      <w:r>
        <w:rPr>
          <w:color w:val="6E6158"/>
          <w:spacing w:val="27"/>
        </w:rPr>
        <w:t> </w:t>
      </w:r>
      <w:r>
        <w:rPr>
          <w:color w:val="6E6158"/>
        </w:rPr>
        <w:t>but</w:t>
      </w:r>
      <w:r>
        <w:rPr>
          <w:color w:val="6E6158"/>
          <w:spacing w:val="27"/>
        </w:rPr>
        <w:t> </w:t>
      </w:r>
      <w:r>
        <w:rPr>
          <w:color w:val="6E6158"/>
        </w:rPr>
        <w:t>not</w:t>
      </w:r>
      <w:r>
        <w:rPr>
          <w:color w:val="6E6158"/>
          <w:spacing w:val="27"/>
        </w:rPr>
        <w:t> </w:t>
      </w:r>
      <w:r>
        <w:rPr>
          <w:color w:val="6E6158"/>
        </w:rPr>
        <w:t>limited</w:t>
      </w:r>
      <w:r>
        <w:rPr>
          <w:color w:val="6E6158"/>
          <w:spacing w:val="27"/>
        </w:rPr>
        <w:t> </w:t>
      </w:r>
      <w:r>
        <w:rPr>
          <w:color w:val="6E6158"/>
        </w:rPr>
        <w:t>to,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property,</w:t>
      </w:r>
      <w:r>
        <w:rPr>
          <w:color w:val="6E6158"/>
          <w:spacing w:val="27"/>
        </w:rPr>
        <w:t> </w:t>
      </w:r>
      <w:r>
        <w:rPr>
          <w:color w:val="6E6158"/>
        </w:rPr>
        <w:t>municipal</w:t>
      </w:r>
      <w:r>
        <w:rPr>
          <w:color w:val="6E6158"/>
          <w:spacing w:val="27"/>
        </w:rPr>
        <w:t> </w:t>
      </w:r>
      <w:r>
        <w:rPr>
          <w:color w:val="6E6158"/>
        </w:rPr>
        <w:t>law,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</w:p>
    <w:p>
      <w:pPr>
        <w:pStyle w:val="BodyText"/>
        <w:spacing w:line="292" w:lineRule="auto" w:before="9"/>
        <w:ind w:right="243"/>
      </w:pPr>
      <w:r>
        <w:rPr>
          <w:color w:val="6E6158"/>
        </w:rPr>
        <w:t>use, business entities, employment and environmental matters, provides efficient, thorough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cost</w:t>
      </w:r>
      <w:r>
        <w:rPr>
          <w:color w:val="6E6158"/>
          <w:spacing w:val="36"/>
        </w:rPr>
        <w:t> </w:t>
      </w:r>
      <w:r>
        <w:rPr>
          <w:color w:val="6E6158"/>
        </w:rPr>
        <w:t>effective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regulatory</w:t>
      </w:r>
      <w:r>
        <w:rPr>
          <w:color w:val="6E6158"/>
          <w:spacing w:val="36"/>
        </w:rPr>
        <w:t> </w:t>
      </w:r>
      <w:r>
        <w:rPr>
          <w:color w:val="6E6158"/>
        </w:rPr>
        <w:t>assistance</w:t>
      </w:r>
      <w:r>
        <w:rPr>
          <w:color w:val="6E6158"/>
          <w:spacing w:val="36"/>
        </w:rPr>
        <w:t> </w:t>
      </w:r>
      <w:r>
        <w:rPr>
          <w:color w:val="6E6158"/>
        </w:rPr>
        <w:t>throughout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State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California.</w:t>
      </w:r>
    </w:p>
    <w:p>
      <w:pPr>
        <w:pStyle w:val="BodyText"/>
        <w:spacing w:line="297" w:lineRule="auto" w:before="196"/>
        <w:ind w:right="95"/>
      </w:pP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have</w:t>
      </w:r>
      <w:r>
        <w:rPr>
          <w:color w:val="6E6158"/>
          <w:spacing w:val="32"/>
        </w:rPr>
        <w:t> </w:t>
      </w:r>
      <w:r>
        <w:rPr>
          <w:color w:val="6E6158"/>
        </w:rPr>
        <w:t>been</w:t>
      </w:r>
      <w:r>
        <w:rPr>
          <w:color w:val="6E6158"/>
          <w:spacing w:val="32"/>
        </w:rPr>
        <w:t> </w:t>
      </w:r>
      <w:r>
        <w:rPr>
          <w:color w:val="6E6158"/>
        </w:rPr>
        <w:t>privileged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Alderwoods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(California),</w:t>
      </w:r>
      <w:r>
        <w:rPr>
          <w:color w:val="6E6158"/>
          <w:spacing w:val="32"/>
        </w:rPr>
        <w:t> </w:t>
      </w:r>
      <w:r>
        <w:rPr>
          <w:color w:val="6E6158"/>
        </w:rPr>
        <w:t>Inc.,</w:t>
      </w:r>
      <w:r>
        <w:rPr>
          <w:color w:val="6E6158"/>
          <w:spacing w:val="32"/>
        </w:rPr>
        <w:t> </w:t>
      </w:r>
      <w:r>
        <w:rPr>
          <w:color w:val="6E6158"/>
        </w:rPr>
        <w:t>formerly</w:t>
      </w:r>
      <w:r>
        <w:rPr>
          <w:color w:val="6E6158"/>
          <w:spacing w:val="32"/>
        </w:rPr>
        <w:t> </w:t>
      </w:r>
      <w:r>
        <w:rPr>
          <w:color w:val="6E6158"/>
        </w:rPr>
        <w:t>known as Loewen Group International, Inc., in various legal and regulatory matters, providing </w:t>
      </w:r>
      <w:r>
        <w:rPr>
          <w:color w:val="6E6158"/>
        </w:rPr>
        <w:t>invaluable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purchases,</w:t>
      </w:r>
      <w:r>
        <w:rPr>
          <w:color w:val="6E6158"/>
          <w:spacing w:val="31"/>
        </w:rPr>
        <w:t> </w:t>
      </w:r>
      <w:r>
        <w:rPr>
          <w:color w:val="6E6158"/>
        </w:rPr>
        <w:t>sales,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licensing.</w:t>
      </w:r>
      <w:r>
        <w:rPr>
          <w:color w:val="6E6158"/>
          <w:spacing w:val="31"/>
        </w:rPr>
        <w:t> </w:t>
      </w:r>
      <w:r>
        <w:rPr>
          <w:color w:val="6E6158"/>
        </w:rPr>
        <w:t>Additionally,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several</w:t>
      </w:r>
    </w:p>
    <w:p>
      <w:pPr>
        <w:pStyle w:val="BodyText"/>
        <w:spacing w:line="292" w:lineRule="auto"/>
        <w:ind w:right="416"/>
        <w:jc w:val="both"/>
      </w:pPr>
      <w:r>
        <w:rPr>
          <w:color w:val="6E6158"/>
        </w:rPr>
        <w:t>independent funeral establishments and cemeteries throughout the Golden State. Our </w:t>
      </w:r>
      <w:r>
        <w:rPr>
          <w:color w:val="6E6158"/>
        </w:rPr>
        <w:t>Fresno based funeral and cemetery attorneys Chris Brown and Richard Aaron often assist clients with the following:</w:t>
      </w:r>
    </w:p>
    <w:p>
      <w:pPr>
        <w:pStyle w:val="BodyText"/>
        <w:spacing w:line="292" w:lineRule="auto" w:before="202"/>
        <w:ind w:left="351" w:right="2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373628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419554pt;width:1.65pt;height:1.65pt;mso-position-horizontal-relative:page;mso-position-vertical-relative:paragraph;z-index:15749120" id="docshape44" coordorigin="1670,588" coordsize="33,33" path="m1691,621l1682,621,1678,619,1671,613,1670,609,1670,600,1671,596,1678,590,1682,588,1691,588,1694,590,1701,596,1702,600,1702,605,1702,609,1701,613,1694,619,1691,6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Funeral and Cemetery Regulatory Compliance: Working with State officials and local establishments on licensing applications and violations, including settlements involving </w:t>
      </w:r>
      <w:r>
        <w:rPr>
          <w:color w:val="6E6158"/>
        </w:rPr>
        <w:t>funeral</w:t>
      </w:r>
      <w:r>
        <w:rPr>
          <w:color w:val="6E6158"/>
          <w:spacing w:val="40"/>
        </w:rPr>
        <w:t> </w:t>
      </w:r>
      <w:r>
        <w:rPr>
          <w:color w:val="6E6158"/>
        </w:rPr>
        <w:t>and cemetery trust funds.</w:t>
      </w:r>
    </w:p>
    <w:p>
      <w:pPr>
        <w:pStyle w:val="BodyText"/>
        <w:spacing w:line="292" w:lineRule="auto"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417036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7498pt;width:1.65pt;height:1.65pt;mso-position-horizontal-relative:page;mso-position-vertical-relative:paragraph;z-index:15749632" id="docshape45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Funeral and Cemetery Transactional Matters: Handling the acquisition, merger, sale and liquidation of funeral and cemetery locations, including, but not limited to, leases,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purchases,</w:t>
      </w:r>
      <w:r>
        <w:rPr>
          <w:color w:val="6E6158"/>
          <w:spacing w:val="32"/>
        </w:rPr>
        <w:t> </w:t>
      </w:r>
      <w:r>
        <w:rPr>
          <w:color w:val="6E6158"/>
        </w:rPr>
        <w:t>local</w:t>
      </w:r>
      <w:r>
        <w:rPr>
          <w:color w:val="6E6158"/>
          <w:spacing w:val="32"/>
        </w:rPr>
        <w:t> </w:t>
      </w:r>
      <w:r>
        <w:rPr>
          <w:color w:val="6E6158"/>
        </w:rPr>
        <w:t>permitting</w:t>
      </w:r>
      <w:r>
        <w:rPr>
          <w:color w:val="6E6158"/>
          <w:spacing w:val="32"/>
        </w:rPr>
        <w:t> </w:t>
      </w:r>
      <w:r>
        <w:rPr>
          <w:color w:val="6E6158"/>
        </w:rPr>
        <w:t>(e.g.,</w:t>
      </w:r>
      <w:r>
        <w:rPr>
          <w:color w:val="6E6158"/>
          <w:spacing w:val="32"/>
        </w:rPr>
        <w:t> </w:t>
      </w:r>
      <w:r>
        <w:rPr>
          <w:color w:val="6E6158"/>
        </w:rPr>
        <w:t>conditional</w:t>
      </w:r>
      <w:r>
        <w:rPr>
          <w:color w:val="6E6158"/>
          <w:spacing w:val="32"/>
        </w:rPr>
        <w:t> </w:t>
      </w:r>
      <w:r>
        <w:rPr>
          <w:color w:val="6E6158"/>
        </w:rPr>
        <w:t>use</w:t>
      </w:r>
      <w:r>
        <w:rPr>
          <w:color w:val="6E6158"/>
          <w:spacing w:val="32"/>
        </w:rPr>
        <w:t> </w:t>
      </w:r>
      <w:r>
        <w:rPr>
          <w:color w:val="6E6158"/>
        </w:rPr>
        <w:t>permits,</w:t>
      </w:r>
      <w:r>
        <w:rPr>
          <w:color w:val="6E6158"/>
          <w:spacing w:val="32"/>
        </w:rPr>
        <w:t> </w:t>
      </w:r>
      <w:r>
        <w:rPr>
          <w:color w:val="6E6158"/>
        </w:rPr>
        <w:t>waivers,</w:t>
      </w:r>
      <w:r>
        <w:rPr>
          <w:color w:val="6E6158"/>
          <w:spacing w:val="32"/>
        </w:rPr>
        <w:t> </w:t>
      </w:r>
      <w:r>
        <w:rPr>
          <w:color w:val="6E6158"/>
        </w:rPr>
        <w:t>etc.,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types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</w:p>
    <w:p>
      <w:pPr>
        <w:pStyle w:val="BodyText"/>
        <w:spacing w:before="2"/>
        <w:ind w:left="351"/>
      </w:pPr>
      <w:r>
        <w:rPr>
          <w:color w:val="6E6158"/>
        </w:rPr>
        <w:t>uses,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crematories).</w:t>
      </w:r>
    </w:p>
    <w:p>
      <w:pPr>
        <w:pStyle w:val="BodyText"/>
        <w:spacing w:line="292" w:lineRule="auto" w:before="182"/>
        <w:ind w:left="351" w:right="3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448711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316pt;width:1.65pt;height:1.65pt;mso-position-horizontal-relative:page;mso-position-vertical-relative:paragraph;z-index:15750144" id="docshape46" coordorigin="1670,707" coordsize="33,33" path="m1691,739l1682,739,1678,738,1671,731,1670,727,1670,718,1671,715,1678,708,1682,707,1691,707,1694,708,1701,715,1702,718,1702,723,1702,727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Funeral and Cemetery Litigation: The size and full service nature of Fennemore’s </w:t>
      </w:r>
      <w:r>
        <w:rPr>
          <w:color w:val="6E6158"/>
        </w:rPr>
        <w:t>practice groups make it one of the few knowledgeable and capable firms to cover and oversee</w:t>
      </w:r>
      <w:r>
        <w:rPr>
          <w:color w:val="6E6158"/>
          <w:spacing w:val="40"/>
        </w:rPr>
        <w:t> </w:t>
      </w:r>
      <w:r>
        <w:rPr>
          <w:color w:val="6E6158"/>
        </w:rPr>
        <w:t>funeral and cemetery litigation, including, but not limited to, third party suits and internal</w:t>
      </w:r>
      <w:r>
        <w:rPr>
          <w:color w:val="6E6158"/>
          <w:spacing w:val="40"/>
        </w:rPr>
        <w:t> </w:t>
      </w:r>
      <w:r>
        <w:rPr>
          <w:color w:val="6E6158"/>
        </w:rPr>
        <w:t>employee disputes.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and-finance/" TargetMode="External"/><Relationship Id="rId10" Type="http://schemas.openxmlformats.org/officeDocument/2006/relationships/hyperlink" Target="https://www.fennemorelaw.com/services/agribusiness/" TargetMode="External"/><Relationship Id="rId11" Type="http://schemas.openxmlformats.org/officeDocument/2006/relationships/hyperlink" Target="https://www.fennemorelaw.com/people/attorneys/daniel-g-arana/" TargetMode="External"/><Relationship Id="rId12" Type="http://schemas.openxmlformats.org/officeDocument/2006/relationships/hyperlink" Target="https://www.fennemorelaw.com/contact-us/#nogales" TargetMode="External"/><Relationship Id="rId13" Type="http://schemas.openxmlformats.org/officeDocument/2006/relationships/hyperlink" Target="mailto:darana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services/real-estate/" TargetMode="External"/><Relationship Id="rId17" Type="http://schemas.openxmlformats.org/officeDocument/2006/relationships/hyperlink" Target="https://www.fennemorelaw.com/people/attorneys/craig-etem/" TargetMode="External"/><Relationship Id="rId18" Type="http://schemas.openxmlformats.org/officeDocument/2006/relationships/hyperlink" Target="https://www.fennemorelaw.com/contact-us/#reno" TargetMode="External"/><Relationship Id="rId19" Type="http://schemas.openxmlformats.org/officeDocument/2006/relationships/hyperlink" Target="mailto:cetem@fennemorelaw.com" TargetMode="External"/><Relationship Id="rId20" Type="http://schemas.openxmlformats.org/officeDocument/2006/relationships/hyperlink" Target="https://www.fennemorelaw.com/people/attorneys/steven-j-cramer/" TargetMode="External"/><Relationship Id="rId21" Type="http://schemas.openxmlformats.org/officeDocument/2006/relationships/hyperlink" Target="https://www.fennemorelaw.com/contact-us/#oakland" TargetMode="External"/><Relationship Id="rId22" Type="http://schemas.openxmlformats.org/officeDocument/2006/relationships/hyperlink" Target="mailto:scramer@fennemorelaw.com" TargetMode="External"/><Relationship Id="rId23" Type="http://schemas.openxmlformats.org/officeDocument/2006/relationships/hyperlink" Target="https://www.fennemorelaw.com/services/practices/tax" TargetMode="External"/><Relationship Id="rId24" Type="http://schemas.openxmlformats.org/officeDocument/2006/relationships/hyperlink" Target="https://www.fennemorelaw.com/services/practices/health-care-litigation-and-regulation" TargetMode="External"/><Relationship Id="rId25" Type="http://schemas.openxmlformats.org/officeDocument/2006/relationships/hyperlink" Target="https://www.fennemorelaw.com/services/practices/employment-and-labor-relations" TargetMode="External"/><Relationship Id="rId26" Type="http://schemas.openxmlformats.org/officeDocument/2006/relationships/hyperlink" Target="https://www.fennemorelaw.com/services/practices/intellectual-property-and-ip-litigation" TargetMode="External"/><Relationship Id="rId27" Type="http://schemas.openxmlformats.org/officeDocument/2006/relationships/hyperlink" Target="https://www.fennemorelaw.com/services/practices/real-estat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Finance - Fennemore</dc:title>
  <dcterms:created xsi:type="dcterms:W3CDTF">2026-01-22T11:30:00Z</dcterms:created>
  <dcterms:modified xsi:type="dcterms:W3CDTF">2026-01-22T11:30:00Z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