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rlton Fearo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490" w:right="49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CARLTON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D.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FEARON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602.916.5999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cfearon@fennemorelaw.com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Carlton Fearon bio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490" w:right="49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CARLTON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D.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FEARON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602.916.5999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cfearon@fennemorelaw.com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3"/>
      </w:pPr>
      <w:r>
        <w:rPr>
          <w:color w:val="FF8100"/>
        </w:rPr>
        <w:t>CARLTON</w:t>
      </w:r>
      <w:r>
        <w:rPr>
          <w:color w:val="FF8100"/>
          <w:spacing w:val="7"/>
        </w:rPr>
        <w:t> </w:t>
      </w:r>
      <w:r>
        <w:rPr>
          <w:color w:val="FF8100"/>
        </w:rPr>
        <w:t>D.</w:t>
      </w:r>
      <w:r>
        <w:rPr>
          <w:color w:val="FF8100"/>
          <w:spacing w:val="8"/>
        </w:rPr>
        <w:t> </w:t>
      </w:r>
      <w:r>
        <w:rPr>
          <w:color w:val="FF8100"/>
          <w:spacing w:val="-2"/>
        </w:rPr>
        <w:t>FEARON</w:t>
      </w:r>
    </w:p>
    <w:p>
      <w:pPr>
        <w:pStyle w:val="BodyText"/>
      </w:pPr>
      <w:r>
        <w:rPr>
          <w:color w:val="6E6158"/>
        </w:rPr>
        <w:t>Carlton</w:t>
      </w:r>
      <w:r>
        <w:rPr>
          <w:color w:val="6E6158"/>
          <w:spacing w:val="12"/>
        </w:rPr>
        <w:t> </w:t>
      </w:r>
      <w:r>
        <w:rPr>
          <w:color w:val="6E6158"/>
        </w:rPr>
        <w:t>Fearon</w:t>
      </w:r>
      <w:r>
        <w:rPr>
          <w:color w:val="6E6158"/>
          <w:spacing w:val="12"/>
        </w:rPr>
        <w:t> </w:t>
      </w:r>
      <w:r>
        <w:rPr>
          <w:color w:val="6E6158"/>
        </w:rPr>
        <w:t>is</w:t>
      </w:r>
      <w:r>
        <w:rPr>
          <w:color w:val="6E6158"/>
          <w:spacing w:val="12"/>
        </w:rPr>
        <w:t> </w:t>
      </w:r>
      <w:r>
        <w:rPr>
          <w:color w:val="6E6158"/>
        </w:rPr>
        <w:t>an</w:t>
      </w:r>
      <w:r>
        <w:rPr>
          <w:color w:val="6E6158"/>
          <w:spacing w:val="12"/>
        </w:rPr>
        <w:t> </w:t>
      </w:r>
      <w:r>
        <w:rPr>
          <w:color w:val="6E6158"/>
        </w:rPr>
        <w:t>Associate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Fennemore’s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2"/>
        </w:rPr>
        <w:t> </w:t>
      </w:r>
      <w:r>
        <w:rPr>
          <w:color w:val="6E6158"/>
        </w:rPr>
        <w:t>group.</w:t>
      </w:r>
      <w:r>
        <w:rPr>
          <w:color w:val="6E6158"/>
          <w:spacing w:val="12"/>
        </w:rPr>
        <w:t> </w:t>
      </w:r>
      <w:r>
        <w:rPr>
          <w:color w:val="6E6158"/>
        </w:rPr>
        <w:t>He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advises</w:t>
      </w:r>
    </w:p>
    <w:p>
      <w:pPr>
        <w:pStyle w:val="BodyText"/>
        <w:spacing w:line="292" w:lineRule="auto" w:before="60"/>
        <w:ind w:right="578"/>
      </w:pPr>
      <w:r>
        <w:rPr>
          <w:color w:val="6E6158"/>
        </w:rPr>
        <w:t>investors, developers, and operators on ground leases, easements, franchise requirements, and</w:t>
      </w:r>
      <w:r>
        <w:rPr>
          <w:color w:val="6E6158"/>
          <w:spacing w:val="40"/>
        </w:rPr>
        <w:t> </w:t>
      </w:r>
      <w:r>
        <w:rPr>
          <w:color w:val="6E6158"/>
        </w:rPr>
        <w:t>federal land-use restrictions. He also helps clients perform title, survey, zoning, and land-use</w:t>
      </w:r>
      <w:r>
        <w:rPr>
          <w:color w:val="6E6158"/>
          <w:spacing w:val="40"/>
        </w:rPr>
        <w:t> </w:t>
      </w:r>
      <w:r>
        <w:rPr>
          <w:color w:val="6E6158"/>
        </w:rPr>
        <w:t>diligence for acquisitions and development projects, resolving encumbrances and </w:t>
      </w:r>
      <w:r>
        <w:rPr>
          <w:color w:val="6E6158"/>
        </w:rPr>
        <w:t>compliance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issues.</w:t>
      </w:r>
    </w:p>
    <w:p>
      <w:pPr>
        <w:pStyle w:val="BodyText"/>
        <w:spacing w:line="292" w:lineRule="auto" w:before="206"/>
        <w:ind w:right="654"/>
      </w:pPr>
      <w:r>
        <w:rPr>
          <w:color w:val="6E6158"/>
        </w:rPr>
        <w:t>Prior to joining Fennemore, Carlton was a real estate associate at a national law firm, where he</w:t>
      </w:r>
      <w:r>
        <w:rPr>
          <w:color w:val="6E6158"/>
          <w:spacing w:val="40"/>
        </w:rPr>
        <w:t> </w:t>
      </w:r>
      <w:r>
        <w:rPr>
          <w:color w:val="6E6158"/>
        </w:rPr>
        <w:t>supported real estate aspects of M&amp;A and fund transactions, coordinating diligence and</w:t>
      </w:r>
      <w:r>
        <w:rPr>
          <w:color w:val="6E6158"/>
          <w:spacing w:val="40"/>
        </w:rPr>
        <w:t> </w:t>
      </w:r>
      <w:r>
        <w:rPr>
          <w:color w:val="6E6158"/>
        </w:rPr>
        <w:t>negotiating core agreements. He also interned and clerked at other national firms, gaining</w:t>
      </w:r>
      <w:r>
        <w:rPr>
          <w:color w:val="6E6158"/>
          <w:spacing w:val="40"/>
        </w:rPr>
        <w:t> </w:t>
      </w:r>
      <w:r>
        <w:rPr>
          <w:color w:val="6E6158"/>
        </w:rPr>
        <w:t>experience in litigation and mediation.</w:t>
      </w:r>
    </w:p>
    <w:p>
      <w:pPr>
        <w:pStyle w:val="BodyText"/>
        <w:spacing w:line="292" w:lineRule="auto" w:before="206"/>
        <w:ind w:right="578"/>
      </w:pPr>
      <w:r>
        <w:rPr>
          <w:color w:val="6E6158"/>
        </w:rPr>
        <w:t>Outside of the office, Carlton can be found mountain biking, golfing, playing pickleball, or</w:t>
      </w:r>
      <w:r>
        <w:rPr>
          <w:color w:val="6E6158"/>
          <w:spacing w:val="40"/>
        </w:rPr>
        <w:t> </w:t>
      </w:r>
      <w:r>
        <w:rPr>
          <w:color w:val="6E6158"/>
        </w:rPr>
        <w:t>enjoying poetry.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302" w:lineRule="auto"/>
        <w:ind w:left="848" w:right="2560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1375552</wp:posOffset>
                </wp:positionH>
                <wp:positionV relativeFrom="paragraph">
                  <wp:posOffset>338821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78873pt;width:1.65pt;height:1.65pt;mso-position-horizontal-relative:page;mso-position-vertical-relative:paragraph;z-index:15729664" id="docshape7" coordorigin="2166,534" coordsize="33,33" path="m2187,566l2178,566,2174,565,2168,558,2166,554,2166,545,2168,542,2174,535,2178,534,2187,534,2191,535,2197,542,2199,545,2199,550,2199,554,2197,558,2191,565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Diverse Students Director of Business Affairs</w:t>
      </w:r>
    </w:p>
    <w:p>
      <w:pPr>
        <w:pStyle w:val="BodyText"/>
        <w:spacing w:before="113"/>
        <w:ind w:left="8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172407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575399pt;width:1.65pt;height:1.65pt;mso-position-horizontal-relative:page;mso-position-vertical-relative:paragraph;z-index:15729152" id="docshape8" coordorigin="1670,272" coordsize="33,33" path="m1691,304l1682,304,1678,302,1671,296,1670,292,1670,283,1671,279,1678,273,1682,272,1691,272,1694,273,1701,279,1702,283,1702,288,1702,292,1701,296,1694,302,1691,3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1375552</wp:posOffset>
                </wp:positionH>
                <wp:positionV relativeFrom="paragraph">
                  <wp:posOffset>131069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0.3204pt;width:1.65pt;height:1.65pt;mso-position-horizontal-relative:page;mso-position-vertical-relative:paragraph;z-index:15730176" id="docshape9" coordorigin="2166,206" coordsize="33,33" path="m2187,239l2178,239,2174,237,2168,231,2166,227,2166,218,2168,214,2174,208,2178,206,2187,206,2191,208,2197,214,2199,218,2199,223,2199,227,2197,231,2191,237,2187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McCarthy</w:t>
      </w:r>
      <w:r>
        <w:rPr>
          <w:color w:val="6E6158"/>
          <w:spacing w:val="19"/>
        </w:rPr>
        <w:t> </w:t>
      </w:r>
      <w:r>
        <w:rPr>
          <w:color w:val="6E6158"/>
          <w:spacing w:val="-2"/>
        </w:rPr>
        <w:t>Fellow</w:t>
      </w:r>
    </w:p>
    <w:p>
      <w:pPr>
        <w:pStyle w:val="BodyText"/>
        <w:spacing w:line="420" w:lineRule="auto" w:before="174"/>
        <w:ind w:left="848" w:right="56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1375552</wp:posOffset>
                </wp:positionH>
                <wp:positionV relativeFrom="paragraph">
                  <wp:posOffset>174921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3.77331pt;width:1.65pt;height:1.65pt;mso-position-horizontal-relative:page;mso-position-vertical-relative:paragraph;z-index:15730688" id="docshape10" coordorigin="2166,275" coordsize="33,33" path="m2187,308l2178,308,2174,306,2168,300,2166,296,2166,287,2168,283,2174,277,2178,275,2187,275,2191,277,2197,283,2199,287,2199,292,2199,296,2197,300,2191,306,2187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1375552</wp:posOffset>
                </wp:positionH>
                <wp:positionV relativeFrom="paragraph">
                  <wp:posOffset>433286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34.117077pt;width:1.65pt;height:1.65pt;mso-position-horizontal-relative:page;mso-position-vertical-relative:paragraph;z-index:15731200" id="docshape11" coordorigin="2166,682" coordsize="33,33" path="m2187,715l2178,715,2174,713,2168,707,2166,703,2166,694,2168,690,2174,684,2178,682,2187,682,2191,684,2197,690,2199,694,2199,699,2199,703,2197,707,2191,713,2187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Carstens Family </w:t>
      </w:r>
      <w:r>
        <w:rPr>
          <w:color w:val="6E6158"/>
        </w:rPr>
        <w:t>Scholarship Anthony Lucia Scholarship</w:t>
      </w:r>
    </w:p>
    <w:p>
      <w:pPr>
        <w:pStyle w:val="BodyText"/>
        <w:spacing w:before="6"/>
        <w:ind w:left="351"/>
      </w:pPr>
      <w:r>
        <w:rPr>
          <w:color w:val="6E6158"/>
        </w:rPr>
        <w:t>B.A.,</w:t>
      </w:r>
      <w:r>
        <w:rPr>
          <w:color w:val="6E6158"/>
          <w:spacing w:val="4"/>
        </w:rPr>
        <w:t> </w:t>
      </w:r>
      <w:r>
        <w:rPr>
          <w:color w:val="6E6158"/>
        </w:rPr>
        <w:t>Valley</w:t>
      </w:r>
      <w:r>
        <w:rPr>
          <w:color w:val="6E6158"/>
          <w:spacing w:val="5"/>
        </w:rPr>
        <w:t> </w:t>
      </w:r>
      <w:r>
        <w:rPr>
          <w:color w:val="6E6158"/>
        </w:rPr>
        <w:t>City</w:t>
      </w:r>
      <w:r>
        <w:rPr>
          <w:color w:val="6E6158"/>
          <w:spacing w:val="5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line="420" w:lineRule="auto" w:before="52"/>
        <w:ind w:left="848" w:right="56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133880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541762pt;width:1.65pt;height:1.65pt;mso-position-horizontal-relative:page;mso-position-vertical-relative:paragraph;z-index:15731712" id="docshape12" coordorigin="1670,211" coordsize="33,33" path="m1691,243l1682,243,1678,242,1671,235,1670,232,1670,223,1671,219,1678,212,1682,211,1691,211,1694,212,1701,219,1702,223,1702,227,1702,232,1701,235,1694,242,1691,2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1375552</wp:posOffset>
                </wp:positionH>
                <wp:positionV relativeFrom="paragraph">
                  <wp:posOffset>97709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7.693635pt;width:1.65pt;height:1.65pt;mso-position-horizontal-relative:page;mso-position-vertical-relative:paragraph;z-index:15732224" id="docshape13" coordorigin="2166,154" coordsize="33,33" path="m2187,186l2178,186,2174,185,2168,178,2166,175,2166,166,2168,162,2174,155,2178,154,2187,154,2191,155,2197,162,2199,166,2199,170,2199,175,2197,178,2191,185,2187,1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1375552</wp:posOffset>
                </wp:positionH>
                <wp:positionV relativeFrom="paragraph">
                  <wp:posOffset>356074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8.037401pt;width:1.65pt;height:1.65pt;mso-position-horizontal-relative:page;mso-position-vertical-relative:paragraph;z-index:15732736" id="docshape14" coordorigin="2166,561" coordsize="33,33" path="m2187,593l2178,593,2174,592,2168,585,2166,582,2166,573,2168,569,2174,562,2178,561,2187,561,2191,562,2197,569,2199,573,2199,577,2199,582,2197,585,2191,592,2187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All Conference Defensive </w:t>
      </w:r>
      <w:r>
        <w:rPr>
          <w:color w:val="6E6158"/>
        </w:rPr>
        <w:t>End Team Captain</w:t>
      </w:r>
    </w:p>
    <w:p>
      <w:pPr>
        <w:pStyle w:val="Heading1"/>
        <w:spacing w:before="160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5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157607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0029pt;width:1.65pt;height:1.65pt;mso-position-horizontal-relative:page;mso-position-vertical-relative:paragraph;z-index:15733248" id="docshape15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158063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5925pt;width:1.65pt;height:1.65pt;mso-position-horizontal-relative:page;mso-position-vertical-relative:paragraph;z-index:15733760" id="docshape16" coordorigin="1670,249" coordsize="33,33" path="m1691,281l1682,281,1678,280,1671,274,1670,270,1670,261,1671,257,1678,251,1682,249,1691,249,1694,251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4272" id="docshape1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7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cfearo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Carlton D. Fearon - Fennemore</dc:title>
  <dcterms:created xsi:type="dcterms:W3CDTF">2026-01-28T17:49:24Z</dcterms:created>
  <dcterms:modified xsi:type="dcterms:W3CDTF">2026-01-28T17:49:24Z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2026-01-28T00:00:00Z</vt:filetime>
  </property>
  <property fmtid="{D5CDD505-2E9C-101B-9397-08002B2CF9AE}" pid="5" name="Producer">
    <vt:lpwstr>Skia/PDF m142</vt:lpwstr>
  </property>
</Properties>
</file>