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746500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746500"/>
                          <a:chExt cx="6071870" cy="374650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therine Renshaw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477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477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477895">
                                <a:moveTo>
                                  <a:pt x="3033212" y="3477601"/>
                                </a:moveTo>
                                <a:lnTo>
                                  <a:pt x="0" y="3477601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477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477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68" w:right="47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CATHERINE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RENSHAW</w:t>
                              </w:r>
                            </w:p>
                            <w:p>
                              <w:pPr>
                                <w:spacing w:before="48"/>
                                <w:ind w:left="468" w:right="47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Immigration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Boise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468" w:right="47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208.956.0135</w:t>
                              </w:r>
                            </w:p>
                            <w:p>
                              <w:pPr>
                                <w:spacing w:line="319" w:lineRule="auto" w:before="109"/>
                                <w:ind w:left="807" w:right="809" w:hanging="1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Idaho Immigration: 208-956-0135 Washington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Immigration: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509-413-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1004</w:t>
                              </w:r>
                            </w:p>
                            <w:p>
                              <w:pPr>
                                <w:spacing w:before="40"/>
                                <w:ind w:left="468" w:right="47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208.473.5099</w:t>
                              </w:r>
                            </w:p>
                            <w:p>
                              <w:pPr>
                                <w:spacing w:before="127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crenshaw@fennemorelaw.com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95pt;mso-position-horizontal-relative:char;mso-position-vertical-relative:line" id="docshapegroup1" coordorigin="0,0" coordsize="9562,5900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5477" type="#_x0000_t75" id="docshape3" alt="Catherine Renshaw bio" stroked="false">
                  <v:imagedata r:id="rId7" o:title=""/>
                </v:shape>
                <v:rect style="position:absolute;left:4784;top:423;width:4777;height:547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547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68" w:right="47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CATHERINE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RENSHAW</w:t>
                        </w:r>
                      </w:p>
                      <w:p>
                        <w:pPr>
                          <w:spacing w:before="48"/>
                          <w:ind w:left="468" w:right="47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Immigration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Boise</w:t>
                          </w:r>
                        </w:hyperlink>
                      </w:p>
                      <w:p>
                        <w:pPr>
                          <w:spacing w:before="54"/>
                          <w:ind w:left="468" w:right="47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208.956.0135</w:t>
                        </w:r>
                      </w:p>
                      <w:p>
                        <w:pPr>
                          <w:spacing w:line="319" w:lineRule="auto" w:before="109"/>
                          <w:ind w:left="807" w:right="809" w:hanging="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Idaho Immigration: 208-956-0135 Washington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Immigration: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509-413-</w:t>
                        </w:r>
                        <w:r>
                          <w:rPr>
                            <w:color w:val="FFFFFF"/>
                            <w:sz w:val="17"/>
                          </w:rPr>
                          <w:t>1004</w:t>
                        </w:r>
                      </w:p>
                      <w:p>
                        <w:pPr>
                          <w:spacing w:before="40"/>
                          <w:ind w:left="468" w:right="47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208.473.5099</w:t>
                        </w:r>
                      </w:p>
                      <w:p>
                        <w:pPr>
                          <w:spacing w:before="127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crenshaw@fennemorelaw.com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CATHERINE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RENSHAW</w:t>
      </w:r>
    </w:p>
    <w:p>
      <w:pPr>
        <w:pStyle w:val="BodyText"/>
        <w:spacing w:line="292" w:lineRule="auto"/>
        <w:ind w:left="99" w:right="673"/>
      </w:pPr>
      <w:r>
        <w:rPr>
          <w:color w:val="6E6158"/>
        </w:rPr>
        <w:t>Catherine Renshaw is an immigration attorney whose practice focuses on immigration law,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38"/>
        </w:rPr>
        <w:t> </w:t>
      </w:r>
      <w:r>
        <w:rPr>
          <w:color w:val="6E6158"/>
        </w:rPr>
        <w:t>experience</w:t>
      </w:r>
      <w:r>
        <w:rPr>
          <w:color w:val="6E6158"/>
          <w:spacing w:val="38"/>
        </w:rPr>
        <w:t> </w:t>
      </w:r>
      <w:r>
        <w:rPr>
          <w:color w:val="6E6158"/>
        </w:rPr>
        <w:t>representing</w:t>
      </w:r>
      <w:r>
        <w:rPr>
          <w:color w:val="6E6158"/>
          <w:spacing w:val="38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matters</w:t>
      </w:r>
      <w:r>
        <w:rPr>
          <w:color w:val="6E6158"/>
          <w:spacing w:val="38"/>
        </w:rPr>
        <w:t> </w:t>
      </w:r>
      <w:r>
        <w:rPr>
          <w:color w:val="6E6158"/>
        </w:rPr>
        <w:t>before</w:t>
      </w:r>
      <w:r>
        <w:rPr>
          <w:color w:val="6E6158"/>
          <w:spacing w:val="38"/>
        </w:rPr>
        <w:t> </w:t>
      </w:r>
      <w:r>
        <w:rPr>
          <w:color w:val="6E6158"/>
        </w:rPr>
        <w:t>U.S.</w:t>
      </w:r>
      <w:r>
        <w:rPr>
          <w:color w:val="6E6158"/>
          <w:spacing w:val="38"/>
        </w:rPr>
        <w:t> </w:t>
      </w:r>
      <w:r>
        <w:rPr>
          <w:color w:val="6E6158"/>
        </w:rPr>
        <w:t>Citizenship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Immigration</w:t>
      </w:r>
    </w:p>
    <w:p>
      <w:pPr>
        <w:pStyle w:val="BodyText"/>
        <w:spacing w:line="292" w:lineRule="auto" w:before="9"/>
        <w:ind w:left="99" w:right="673"/>
      </w:pPr>
      <w:r>
        <w:rPr>
          <w:color w:val="6E6158"/>
        </w:rPr>
        <w:t>Services, immigration court, Immigration and Customs Enforcement, and the federal courts.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has represented individuals in asylum, family-based, and employment-based visa petitions, as</w:t>
      </w:r>
      <w:r>
        <w:rPr>
          <w:color w:val="6E6158"/>
          <w:spacing w:val="80"/>
        </w:rPr>
        <w:t> </w:t>
      </w:r>
      <w:r>
        <w:rPr>
          <w:color w:val="6E6158"/>
        </w:rPr>
        <w:t>well as in litigation before the U.S. Court of Appeals for the Ninth Circuit. She also has extensive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representing</w:t>
      </w:r>
      <w:r>
        <w:rPr>
          <w:color w:val="6E6158"/>
          <w:spacing w:val="40"/>
        </w:rPr>
        <w:t>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their</w:t>
      </w:r>
      <w:r>
        <w:rPr>
          <w:color w:val="6E6158"/>
          <w:spacing w:val="40"/>
        </w:rPr>
        <w:t> </w:t>
      </w:r>
      <w:r>
        <w:rPr>
          <w:color w:val="6E6158"/>
        </w:rPr>
        <w:t>efforts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solve</w:t>
      </w:r>
      <w:r>
        <w:rPr>
          <w:color w:val="6E6158"/>
          <w:spacing w:val="40"/>
        </w:rPr>
        <w:t> </w:t>
      </w:r>
      <w:r>
        <w:rPr>
          <w:color w:val="6E6158"/>
        </w:rPr>
        <w:t>immigration-related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</w:p>
    <w:p>
      <w:pPr>
        <w:pStyle w:val="BodyText"/>
        <w:spacing w:before="10"/>
        <w:ind w:left="99"/>
      </w:pPr>
      <w:r>
        <w:rPr>
          <w:color w:val="6E6158"/>
        </w:rPr>
        <w:t>matters,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2"/>
        </w:rPr>
        <w:t> </w:t>
      </w:r>
      <w:r>
        <w:rPr>
          <w:color w:val="6E6158"/>
        </w:rPr>
        <w:t>visa</w:t>
      </w:r>
      <w:r>
        <w:rPr>
          <w:color w:val="6E6158"/>
          <w:spacing w:val="12"/>
        </w:rPr>
        <w:t> </w:t>
      </w:r>
      <w:r>
        <w:rPr>
          <w:color w:val="6E6158"/>
        </w:rPr>
        <w:t>petitions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I-9</w:t>
      </w:r>
      <w:r>
        <w:rPr>
          <w:color w:val="6E6158"/>
          <w:spacing w:val="12"/>
        </w:rPr>
        <w:t> </w:t>
      </w:r>
      <w:r>
        <w:rPr>
          <w:color w:val="6E6158"/>
        </w:rPr>
        <w:t>compliance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left="99" w:right="665"/>
      </w:pPr>
      <w:r>
        <w:rPr>
          <w:color w:val="6E6158"/>
        </w:rPr>
        <w:t>Prior to joining Fennemore, Catherine worked at a Boise-based law firm practicing exclusively in</w:t>
      </w:r>
      <w:r>
        <w:rPr>
          <w:color w:val="6E6158"/>
          <w:spacing w:val="40"/>
        </w:rPr>
        <w:t> </w:t>
      </w:r>
      <w:r>
        <w:rPr>
          <w:color w:val="6E6158"/>
        </w:rPr>
        <w:t>immigration law. Immediately after law school, she clerked for the Honorable John R. Stegner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 Idaho Supreme Court, where she prepared case analyses, drafted court decisions, and</w:t>
      </w:r>
      <w:r>
        <w:rPr>
          <w:color w:val="6E6158"/>
          <w:spacing w:val="40"/>
        </w:rPr>
        <w:t> </w:t>
      </w:r>
      <w:r>
        <w:rPr>
          <w:color w:val="6E6158"/>
        </w:rPr>
        <w:t>conducted extensive legal research. She also served as Editor-in-Chief of the </w:t>
      </w:r>
      <w:r>
        <w:rPr>
          <w:i/>
          <w:color w:val="6E6158"/>
          <w:sz w:val="20"/>
        </w:rPr>
        <w:t>Idaho Law Review</w:t>
      </w:r>
      <w:r>
        <w:rPr>
          <w:i/>
          <w:color w:val="6E6158"/>
          <w:sz w:val="20"/>
        </w:rPr>
        <w:t> </w:t>
      </w:r>
      <w:r>
        <w:rPr>
          <w:color w:val="6E6158"/>
        </w:rPr>
        <w:t>and gained substantial advocacy experience through her work with the University of Idaho</w:t>
      </w:r>
      <w:r>
        <w:rPr>
          <w:color w:val="6E6158"/>
          <w:spacing w:val="40"/>
        </w:rPr>
        <w:t> </w:t>
      </w:r>
      <w:r>
        <w:rPr>
          <w:color w:val="6E6158"/>
        </w:rPr>
        <w:t>Immigration Litigation and Appellate Clinic.</w:t>
      </w:r>
    </w:p>
    <w:p>
      <w:pPr>
        <w:pStyle w:val="BodyText"/>
        <w:spacing w:line="292" w:lineRule="auto" w:before="200"/>
        <w:ind w:left="99" w:right="673"/>
      </w:pPr>
      <w:r>
        <w:rPr>
          <w:color w:val="6E6158"/>
        </w:rPr>
        <w:t>Catherine earned her law degree at the University of Idaho. There, she received the CALI Award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80"/>
        </w:rPr>
        <w:t> </w:t>
      </w:r>
      <w:r>
        <w:rPr>
          <w:color w:val="6E6158"/>
        </w:rPr>
        <w:t>Immigration Law &amp; Policy and the Immigration Clinic, Best Student Brief from the Idaho Trial Lawyers</w:t>
      </w:r>
      <w:r>
        <w:rPr>
          <w:color w:val="6E6158"/>
          <w:spacing w:val="31"/>
        </w:rPr>
        <w:t> </w:t>
      </w:r>
      <w:r>
        <w:rPr>
          <w:color w:val="6E6158"/>
        </w:rPr>
        <w:t>Association,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Best</w:t>
      </w:r>
      <w:r>
        <w:rPr>
          <w:color w:val="6E6158"/>
          <w:spacing w:val="31"/>
        </w:rPr>
        <w:t> </w:t>
      </w:r>
      <w:r>
        <w:rPr>
          <w:color w:val="6E6158"/>
        </w:rPr>
        <w:t>Oral</w:t>
      </w:r>
      <w:r>
        <w:rPr>
          <w:color w:val="6E6158"/>
          <w:spacing w:val="31"/>
        </w:rPr>
        <w:t> </w:t>
      </w:r>
      <w:r>
        <w:rPr>
          <w:color w:val="6E6158"/>
        </w:rPr>
        <w:t>Advocate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Civ.</w:t>
      </w:r>
      <w:r>
        <w:rPr>
          <w:color w:val="6E6158"/>
          <w:spacing w:val="31"/>
        </w:rPr>
        <w:t> </w:t>
      </w:r>
      <w:r>
        <w:rPr>
          <w:color w:val="6E6158"/>
        </w:rPr>
        <w:t>Pro.</w:t>
      </w:r>
      <w:r>
        <w:rPr>
          <w:color w:val="6E6158"/>
          <w:spacing w:val="31"/>
        </w:rPr>
        <w:t> </w:t>
      </w:r>
      <w:r>
        <w:rPr>
          <w:color w:val="6E6158"/>
        </w:rPr>
        <w:t>Subject</w:t>
      </w:r>
      <w:r>
        <w:rPr>
          <w:color w:val="6E6158"/>
          <w:spacing w:val="31"/>
        </w:rPr>
        <w:t> </w:t>
      </w:r>
      <w:r>
        <w:rPr>
          <w:color w:val="6E6158"/>
        </w:rPr>
        <w:t>Matter</w:t>
      </w:r>
      <w:r>
        <w:rPr>
          <w:color w:val="6E6158"/>
          <w:spacing w:val="31"/>
        </w:rPr>
        <w:t> </w:t>
      </w:r>
      <w:r>
        <w:rPr>
          <w:color w:val="6E6158"/>
        </w:rPr>
        <w:t>Jurisdiction</w:t>
      </w:r>
    </w:p>
    <w:p>
      <w:pPr>
        <w:pStyle w:val="BodyText"/>
        <w:spacing w:before="2"/>
        <w:ind w:left="99"/>
      </w:pPr>
      <w:r>
        <w:rPr>
          <w:color w:val="6E6158"/>
          <w:spacing w:val="-2"/>
        </w:rPr>
        <w:t>Smackdown.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 w:before="0"/>
        <w:ind w:left="99" w:right="687"/>
        <w:jc w:val="both"/>
      </w:pPr>
      <w:r>
        <w:rPr>
          <w:color w:val="6E6158"/>
        </w:rPr>
        <w:t>In addition to her practice, Catherine is an Adjunct Instructor at the University of Idaho College</w:t>
      </w:r>
      <w:r>
        <w:rPr>
          <w:color w:val="6E6158"/>
          <w:spacing w:val="80"/>
        </w:rPr>
        <w:t> </w:t>
      </w:r>
      <w:r>
        <w:rPr>
          <w:color w:val="6E6158"/>
        </w:rPr>
        <w:t>of Law, teaching legal reasoning and bar preparation strategies. A highly involved community member, she serves as a pro bono attorney for the Idaho Volunteer Lawyers Program and as a member of the Idaho State Bar’s Young Lawyers Section.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Idaho</w:t>
      </w:r>
      <w:r>
        <w:rPr>
          <w:color w:val="6E6158"/>
          <w:spacing w:val="8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49"/>
        <w:ind w:left="848" w:right="31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256123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67171pt;width:1.65pt;height:1.65pt;mso-position-horizontal-relative:page;mso-position-vertical-relative:paragraph;z-index:15729152" id="docshape7" coordorigin="1670,403" coordsize="33,33" path="m1691,436l1682,436,1678,434,1671,428,1670,424,1670,415,1671,411,1678,405,1682,403,1691,403,1694,405,1701,411,1702,415,1702,420,1702,424,1701,428,1694,434,1691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95936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554045pt;width:1.65pt;height:1.65pt;mso-position-horizontal-relative:page;mso-position-vertical-relative:paragraph;z-index:15729664" id="docshape8" coordorigin="2166,151" coordsize="33,33" path="m2187,184l2178,184,2174,182,2168,176,2166,172,2166,163,2168,159,2174,153,2178,151,2187,151,2191,153,2197,159,2199,163,2199,167,2199,172,2197,176,2191,182,2187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354301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7.897787pt;width:1.65pt;height:1.65pt;mso-position-horizontal-relative:page;mso-position-vertical-relative:paragraph;z-index:15730176" id="docshape9" coordorigin="2166,558" coordsize="33,33" path="m2187,591l2178,591,2174,589,2168,583,2166,579,2166,570,2168,566,2174,560,2178,558,2187,558,2191,560,2197,566,2199,570,2199,574,2199,579,2197,583,2191,589,2187,5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 Awards: Immigration Law &amp; Policy, Immigration </w:t>
      </w:r>
      <w:r>
        <w:rPr>
          <w:color w:val="6E6158"/>
        </w:rPr>
        <w:t>Clinic Best Student Brief, Idaho Trial Lawyers Association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9.260010pt;width:1.65pt;height:1.65pt;mso-position-horizontal-relative:page;mso-position-vertical-relative:paragraph;z-index:15730688" id="docshape10" coordorigin="2166,185" coordsize="33,33" path="m2187,218l2178,218,2174,216,2168,210,2166,206,2166,197,2168,193,2174,187,2178,185,2187,185,2191,187,2197,193,2199,197,2199,201,2199,206,2197,210,2191,216,2187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</w:rPr>
        <w:t>Oral</w:t>
      </w:r>
      <w:r>
        <w:rPr>
          <w:color w:val="6E6158"/>
          <w:spacing w:val="13"/>
        </w:rPr>
        <w:t> </w:t>
      </w:r>
      <w:r>
        <w:rPr>
          <w:color w:val="6E6158"/>
        </w:rPr>
        <w:t>Advocate,</w:t>
      </w:r>
      <w:r>
        <w:rPr>
          <w:color w:val="6E6158"/>
          <w:spacing w:val="13"/>
        </w:rPr>
        <w:t> </w:t>
      </w:r>
      <w:r>
        <w:rPr>
          <w:color w:val="6E6158"/>
        </w:rPr>
        <w:t>Civ.</w:t>
      </w:r>
      <w:r>
        <w:rPr>
          <w:color w:val="6E6158"/>
          <w:spacing w:val="13"/>
        </w:rPr>
        <w:t> </w:t>
      </w:r>
      <w:r>
        <w:rPr>
          <w:color w:val="6E6158"/>
        </w:rPr>
        <w:t>Pro.</w:t>
      </w:r>
      <w:r>
        <w:rPr>
          <w:color w:val="6E6158"/>
          <w:spacing w:val="12"/>
        </w:rPr>
        <w:t> </w:t>
      </w:r>
      <w:r>
        <w:rPr>
          <w:color w:val="6E6158"/>
        </w:rPr>
        <w:t>Subject</w:t>
      </w:r>
      <w:r>
        <w:rPr>
          <w:color w:val="6E6158"/>
          <w:spacing w:val="13"/>
        </w:rPr>
        <w:t> </w:t>
      </w:r>
      <w:r>
        <w:rPr>
          <w:color w:val="6E6158"/>
        </w:rPr>
        <w:t>Matter</w:t>
      </w:r>
      <w:r>
        <w:rPr>
          <w:color w:val="6E6158"/>
          <w:spacing w:val="13"/>
        </w:rPr>
        <w:t> </w:t>
      </w:r>
      <w:r>
        <w:rPr>
          <w:color w:val="6E6158"/>
        </w:rPr>
        <w:t>Jurisdiction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Smackdown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1200" id="docshape1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13"/>
        </w:rPr>
        <w:t> </w:t>
      </w:r>
      <w:r>
        <w:rPr>
          <w:color w:val="6E6158"/>
        </w:rPr>
        <w:t>French,</w:t>
      </w:r>
      <w:r>
        <w:rPr>
          <w:color w:val="6E6158"/>
          <w:spacing w:val="13"/>
        </w:rPr>
        <w:t> </w:t>
      </w:r>
      <w:r>
        <w:rPr>
          <w:color w:val="6E6158"/>
        </w:rPr>
        <w:t>B.A.</w:t>
      </w:r>
      <w:r>
        <w:rPr>
          <w:color w:val="6E6158"/>
          <w:spacing w:val="14"/>
        </w:rPr>
        <w:t> </w:t>
      </w:r>
      <w:r>
        <w:rPr>
          <w:color w:val="6E6158"/>
        </w:rPr>
        <w:t>International</w:t>
      </w:r>
      <w:r>
        <w:rPr>
          <w:color w:val="6E6158"/>
          <w:spacing w:val="13"/>
        </w:rPr>
        <w:t> </w:t>
      </w:r>
      <w:r>
        <w:rPr>
          <w:color w:val="6E6158"/>
        </w:rPr>
        <w:t>Studies,</w:t>
      </w:r>
      <w:r>
        <w:rPr>
          <w:color w:val="6E6158"/>
          <w:spacing w:val="14"/>
        </w:rPr>
        <w:t> </w:t>
      </w:r>
      <w:r>
        <w:rPr>
          <w:color w:val="6E6158"/>
        </w:rPr>
        <w:t>B.S.</w:t>
      </w:r>
      <w:r>
        <w:rPr>
          <w:color w:val="6E6158"/>
          <w:spacing w:val="13"/>
        </w:rPr>
        <w:t> </w:t>
      </w:r>
      <w:r>
        <w:rPr>
          <w:color w:val="6E6158"/>
        </w:rPr>
        <w:t>Political</w:t>
      </w:r>
      <w:r>
        <w:rPr>
          <w:color w:val="6E6158"/>
          <w:spacing w:val="14"/>
        </w:rPr>
        <w:t> </w:t>
      </w:r>
      <w:r>
        <w:rPr>
          <w:color w:val="6E6158"/>
        </w:rPr>
        <w:t>Science,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Idaho</w:t>
      </w:r>
    </w:p>
    <w:p>
      <w:pPr>
        <w:pStyle w:val="Heading1"/>
        <w:spacing w:before="22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7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152969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835pt;width:1.65pt;height:1.65pt;mso-position-horizontal-relative:page;mso-position-vertical-relative:paragraph;z-index:15731712" id="docshape12" coordorigin="1670,241" coordsize="33,33" path="m1691,273l1682,273,1678,272,1671,266,1670,262,1670,253,1671,249,1678,242,1682,241,1691,241,1694,242,1701,249,1702,253,1702,257,1702,262,1701,266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416502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5444pt;width:1.65pt;height:1.65pt;mso-position-horizontal-relative:page;mso-position-vertical-relative:paragraph;z-index:15732224" id="docshape13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Immigration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line="422" w:lineRule="auto" w:before="0"/>
        <w:ind w:right="67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63782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2225pt;width:1.65pt;height:1.65pt;mso-position-horizontal-relative:page;mso-position-vertical-relative:paragraph;z-index:15732736" id="docshape1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322147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5976pt;width:1.65pt;height:1.65pt;mso-position-horizontal-relative:page;mso-position-vertical-relative:paragraph;z-index:15733248" id="docshape15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580513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09724pt;width:1.65pt;height:1.65pt;mso-position-horizontal-relative:page;mso-position-vertical-relative:paragraph;z-index:15733760" id="docshape16" coordorigin="1670,914" coordsize="33,33" path="m1691,947l1682,947,1678,945,1671,939,1670,935,1670,926,1671,922,1678,916,1682,914,1691,914,1694,916,1701,922,1702,926,1702,930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Employment General Counsel </w:t>
      </w:r>
      <w:r>
        <w:rPr>
          <w:color w:val="6E6158"/>
        </w:rPr>
        <w:t>Services Health Care</w:t>
      </w: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6"/>
        <w:ind w:righ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245405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3229pt;width:1.65pt;height:1.65pt;mso-position-horizontal-relative:page;mso-position-vertical-relative:paragraph;z-index:15734272" id="docshape17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detained asylum seeker, Court of Appeals for the Ninth Circuit Pro Bono </w:t>
      </w:r>
      <w:r>
        <w:rPr>
          <w:color w:val="6E6158"/>
          <w:spacing w:val="-2"/>
        </w:rPr>
        <w:t>Program</w:t>
      </w:r>
    </w:p>
    <w:p>
      <w:pPr>
        <w:pStyle w:val="Heading1"/>
        <w:spacing w:before="29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  <w:ind w:righ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245617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9964pt;width:1.65pt;height:1.65pt;mso-position-horizontal-relative:page;mso-position-vertical-relative:paragraph;z-index:15734784" id="docshape18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How hiring skilled foreign talent just got more complicated for employers</w:t>
        </w:r>
      </w:hyperlink>
      <w:r>
        <w:rPr>
          <w:color w:val="6E6158"/>
        </w:rPr>
        <w:t>,” AZ Big Media, January 19, 2026</w:t>
      </w:r>
    </w:p>
    <w:p>
      <w:pPr>
        <w:pStyle w:val="BodyText"/>
        <w:spacing w:line="292" w:lineRule="auto" w:before="123"/>
        <w:ind w:righ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230554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3908pt;width:1.65pt;height:1.65pt;mso-position-horizontal-relative:page;mso-position-vertical-relative:paragraph;z-index:15735296" id="docshape19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H-1B Cap Lottery Update: Higher Wages Get More “Entries” Starting FY 2027</w:t>
        </w:r>
      </w:hyperlink>
      <w:r>
        <w:rPr>
          <w:color w:val="6E6158"/>
        </w:rPr>
        <w:t>,” Fennemore Blog, January 13, 2026</w:t>
      </w:r>
    </w:p>
    <w:p>
      <w:pPr>
        <w:pStyle w:val="BodyText"/>
        <w:spacing w:line="292" w:lineRule="auto" w:before="131"/>
        <w:ind w:right="6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235899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755pt;width:1.65pt;height:1.65pt;mso-position-horizontal-relative:page;mso-position-vertical-relative:paragraph;z-index:15735808" id="docshape2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Business Immigration in 2025–2026: Key Takeaways for Employers</w:t>
        </w:r>
      </w:hyperlink>
      <w:r>
        <w:rPr>
          <w:color w:val="6E6158"/>
        </w:rPr>
        <w:t>,” </w:t>
      </w:r>
      <w:r>
        <w:rPr>
          <w:color w:val="6E6158"/>
        </w:rPr>
        <w:t>Fennemore Blog, December 9, 2025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143152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1852pt;width:1.65pt;height:1.65pt;mso-position-horizontal-relative:page;mso-position-vertical-relative:paragraph;z-index:15736320" id="docshape21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“Immigration</w:t>
      </w:r>
      <w:r>
        <w:rPr>
          <w:color w:val="6E6158"/>
          <w:spacing w:val="10"/>
        </w:rPr>
        <w:t> </w:t>
      </w:r>
      <w:r>
        <w:rPr>
          <w:color w:val="6E6158"/>
        </w:rPr>
        <w:t>Issues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Employers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2025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Beyond,”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0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February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spacing w:line="278" w:lineRule="auto" w:before="172"/>
        <w:ind w:left="351" w:right="67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267863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1639pt;width:1.65pt;height:1.65pt;mso-position-horizontal-relative:page;mso-position-vertical-relative:paragraph;z-index:15736832" id="docshape22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pacing w:val="-2"/>
          <w:sz w:val="20"/>
        </w:rPr>
        <w:t>Reviving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Alien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Tort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Statute: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Roadmap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Recovery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Asylum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Seekers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Suffering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the Harm of Refoulement</w:t>
      </w:r>
      <w:r>
        <w:rPr>
          <w:color w:val="6E6158"/>
          <w:sz w:val="19"/>
        </w:rPr>
        <w:t>, 60 Idaho L. Rev. 207, (2024)</w:t>
      </w:r>
    </w:p>
    <w:p>
      <w:pPr>
        <w:pStyle w:val="Heading1"/>
        <w:spacing w:before="29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6"/>
        <w:ind w:right="7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245451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6927pt;width:1.65pt;height:1.65pt;mso-position-horizontal-relative:page;mso-position-vertical-relative:paragraph;z-index:15737344" id="docshape23" coordorigin="1670,387" coordsize="33,33" path="m1691,419l1682,419,1678,417,1671,411,1670,407,1670,398,1671,394,1678,388,1682,387,1691,387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</w:t>
      </w:r>
      <w:r>
        <w:rPr>
          <w:color w:val="6E6158"/>
          <w:spacing w:val="15"/>
        </w:rPr>
        <w:t> </w:t>
      </w:r>
      <w:r>
        <w:rPr>
          <w:color w:val="6E6158"/>
        </w:rPr>
        <w:t>Instructor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Strategies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Legal</w:t>
      </w:r>
      <w:r>
        <w:rPr>
          <w:color w:val="6E6158"/>
          <w:spacing w:val="15"/>
        </w:rPr>
        <w:t> </w:t>
      </w:r>
      <w:r>
        <w:rPr>
          <w:color w:val="6E6158"/>
        </w:rPr>
        <w:t>Reasoning,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Idaho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32"/>
        <w:ind w:right="2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38pt;width:1.65pt;height:1.65pt;mso-position-horizontal-relative:page;mso-position-vertical-relative:paragraph;z-index:15737856" id="docshape2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406713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24654pt;width:1.65pt;height:1.65pt;mso-position-horizontal-relative:page;mso-position-vertical-relative:paragraph;z-index:15738368" id="docshape25" coordorigin="1670,640" coordsize="33,33" path="m1691,673l1682,673,1678,671,1671,665,1670,661,1670,652,1671,648,1678,642,1682,640,1691,640,1694,642,1701,648,1702,652,1702,657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 Bono Attorney, Idaho Volunteer Lawyers Program, 2022-</w:t>
      </w:r>
      <w:r>
        <w:rPr>
          <w:color w:val="6E6158"/>
        </w:rPr>
        <w:t>Present Member, Idaho State Bar – Young Lawyers Section, 2022-Present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158080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281pt;width:1.65pt;height:1.65pt;mso-position-horizontal-relative:page;mso-position-vertical-relative:paragraph;z-index:15738880" id="docshape26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4"/>
        </w:rPr>
        <w:t> </w:t>
      </w:r>
      <w:r>
        <w:rPr>
          <w:color w:val="6E6158"/>
        </w:rPr>
        <w:t>Supreme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175175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3343pt;width:1.65pt;height:1.65pt;mso-position-horizontal-relative:page;mso-position-vertical-relative:paragraph;z-index:15739392" id="docshape2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170045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938pt;width:1.65pt;height:1.65pt;mso-position-horizontal-relative:page;mso-position-vertical-relative:paragraph;z-index:15739904" id="docshape28" coordorigin="1670,268" coordsize="33,33" path="m1691,300l1682,300,1678,299,1671,292,1670,289,1670,280,1671,276,1678,269,1682,268,1691,268,1694,269,1701,276,1702,280,1702,284,1702,289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9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mmigration/" TargetMode="External"/><Relationship Id="rId9" Type="http://schemas.openxmlformats.org/officeDocument/2006/relationships/hyperlink" Target="https://www.fennemorelaw.com/contact-us/boise/" TargetMode="External"/><Relationship Id="rId10" Type="http://schemas.openxmlformats.org/officeDocument/2006/relationships/hyperlink" Target="mailto:crenshaw@fennemorelaw.com" TargetMode="External"/><Relationship Id="rId11" Type="http://schemas.openxmlformats.org/officeDocument/2006/relationships/hyperlink" Target="https://azbigmedia.com/business/how-hiring-skilled-foreign-talent-just-got-more-complicated-for-employers/" TargetMode="External"/><Relationship Id="rId12" Type="http://schemas.openxmlformats.org/officeDocument/2006/relationships/hyperlink" Target="https://www.fennemorelaw.com/h-1b-cap-lottery-update-higher-wages-get-more-entries-starting-fy-2027/" TargetMode="External"/><Relationship Id="rId13" Type="http://schemas.openxmlformats.org/officeDocument/2006/relationships/hyperlink" Target="https://www.fennemorelaw.com/business-immigration-in-2025-2026-key-takeaways-for-employer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Renshaw - Fennemore</dc:title>
  <dcterms:created xsi:type="dcterms:W3CDTF">2026-01-22T11:15:32Z</dcterms:created>
  <dcterms:modified xsi:type="dcterms:W3CDTF">2026-01-22T11:15:32Z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