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tine E. Reinhar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48149" y="763308"/>
                            <a:ext cx="12242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CHRISTINE REINHARD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0926" y="2500373"/>
                            <a:ext cx="15786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creinhard@fennemorelaw.com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hristine E. Reinhard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3;top:-3887;width:192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CHRISTINE REINHARD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74;top:-1151;width:248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creinhard@fennemorelaw.com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CHRISTINE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REINHARD</w:t>
      </w:r>
    </w:p>
    <w:p>
      <w:pPr>
        <w:pStyle w:val="BodyText"/>
        <w:spacing w:line="302" w:lineRule="auto" w:before="146"/>
        <w:ind w:left="99" w:right="212"/>
      </w:pPr>
      <w:r>
        <w:rPr>
          <w:color w:val="6E6158"/>
        </w:rPr>
        <w:t>Christine E. Reinhard is a Director in Fennemore’s Employment &amp; Labor practice group based in</w:t>
      </w:r>
      <w:r>
        <w:rPr>
          <w:color w:val="6E6158"/>
          <w:spacing w:val="40"/>
        </w:rPr>
        <w:t> </w:t>
      </w:r>
      <w:r>
        <w:rPr>
          <w:color w:val="6E6158"/>
        </w:rPr>
        <w:t>San Antonio, Texas.</w:t>
      </w:r>
    </w:p>
    <w:p>
      <w:pPr>
        <w:pStyle w:val="BodyText"/>
        <w:spacing w:before="186"/>
        <w:ind w:left="99"/>
      </w:pPr>
      <w:r>
        <w:rPr>
          <w:color w:val="6E6158"/>
        </w:rPr>
        <w:t>Christine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Certified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Legal</w:t>
      </w:r>
    </w:p>
    <w:p>
      <w:pPr>
        <w:pStyle w:val="BodyText"/>
        <w:spacing w:line="295" w:lineRule="auto" w:before="52"/>
        <w:ind w:left="99" w:right="245"/>
      </w:pPr>
      <w:r>
        <w:rPr>
          <w:color w:val="6E6158"/>
        </w:rPr>
        <w:t>Specialization. Her practice encompasses all aspects of labor and employment law. An active</w:t>
      </w:r>
      <w:r>
        <w:rPr>
          <w:color w:val="6E6158"/>
          <w:spacing w:val="40"/>
        </w:rPr>
        <w:t> </w:t>
      </w:r>
      <w:r>
        <w:rPr>
          <w:color w:val="6E6158"/>
        </w:rPr>
        <w:t>trial lawyer, she has defended employers in jury and bench trials and frequently litigates in court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private</w:t>
      </w:r>
      <w:r>
        <w:rPr>
          <w:color w:val="6E6158"/>
          <w:spacing w:val="17"/>
        </w:rPr>
        <w:t> </w:t>
      </w:r>
      <w:r>
        <w:rPr>
          <w:color w:val="6E6158"/>
        </w:rPr>
        <w:t>arbitrations.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additionally</w:t>
      </w:r>
      <w:r>
        <w:rPr>
          <w:color w:val="6E6158"/>
          <w:spacing w:val="17"/>
        </w:rPr>
        <w:t> </w:t>
      </w:r>
      <w:r>
        <w:rPr>
          <w:color w:val="6E6158"/>
        </w:rPr>
        <w:t>assists</w:t>
      </w:r>
      <w:r>
        <w:rPr>
          <w:color w:val="6E6158"/>
          <w:spacing w:val="17"/>
        </w:rPr>
        <w:t> </w:t>
      </w:r>
      <w:r>
        <w:rPr>
          <w:color w:val="6E6158"/>
        </w:rPr>
        <w:t>employers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various</w:t>
      </w:r>
      <w:r>
        <w:rPr>
          <w:color w:val="6E6158"/>
          <w:spacing w:val="17"/>
        </w:rPr>
        <w:t> </w:t>
      </w:r>
      <w:r>
        <w:rPr>
          <w:color w:val="6E6158"/>
        </w:rPr>
        <w:t>preventative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non-litigation strategies and activities, such as:</w:t>
      </w:r>
    </w:p>
    <w:p>
      <w:pPr>
        <w:pStyle w:val="BodyText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189702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3717pt;width:1.65pt;height:1.65pt;mso-position-horizontal-relative:page;mso-position-vertical-relative:paragraph;z-index:15729152" id="docshape11" coordorigin="1670,299" coordsize="33,33" path="m1691,331l1682,331,1678,330,1671,323,1670,320,1670,311,1671,307,1678,300,1682,299,1691,299,1694,300,1701,307,1702,311,1702,315,1702,320,1701,323,1694,330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Counseling</w:t>
      </w:r>
      <w:r>
        <w:rPr>
          <w:color w:val="6E6158"/>
          <w:spacing w:val="15"/>
        </w:rPr>
        <w:t> </w:t>
      </w:r>
      <w:r>
        <w:rPr>
          <w:color w:val="6E6158"/>
        </w:rPr>
        <w:t>employers</w:t>
      </w:r>
      <w:r>
        <w:rPr>
          <w:color w:val="6E6158"/>
          <w:spacing w:val="16"/>
        </w:rPr>
        <w:t> </w:t>
      </w:r>
      <w:r>
        <w:rPr>
          <w:color w:val="6E6158"/>
        </w:rPr>
        <w:t>on</w:t>
      </w:r>
      <w:r>
        <w:rPr>
          <w:color w:val="6E6158"/>
          <w:spacing w:val="16"/>
        </w:rPr>
        <w:t> </w:t>
      </w:r>
      <w:r>
        <w:rPr>
          <w:color w:val="6E6158"/>
        </w:rPr>
        <w:t>strategic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6"/>
        </w:rPr>
        <w:t> </w:t>
      </w: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</w:rPr>
        <w:t>policy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contractual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issues</w:t>
      </w:r>
    </w:p>
    <w:p>
      <w:pPr>
        <w:pStyle w:val="BodyText"/>
        <w:spacing w:line="302" w:lineRule="auto" w:before="174"/>
        <w:ind w:right="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268058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7pt;width:1.65pt;height:1.65pt;mso-position-horizontal-relative:page;mso-position-vertical-relative:paragraph;z-index:15729664" id="docshape1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Advising employers through governmental investigations and audits, including by </w:t>
      </w:r>
      <w:r>
        <w:rPr>
          <w:color w:val="6E6158"/>
        </w:rPr>
        <w:t>such agencies as the Texas Workforce Commission, EEOC, DOL, and OFCCP</w:t>
      </w:r>
    </w:p>
    <w:p>
      <w:pPr>
        <w:pStyle w:val="BodyText"/>
        <w:spacing w:line="420" w:lineRule="auto" w:before="113"/>
        <w:ind w:right="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136172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2222pt;width:1.65pt;height:1.65pt;mso-position-horizontal-relative:page;mso-position-vertical-relative:paragraph;z-index:15730176" id="docshape13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394538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66013pt;width:1.65pt;height:1.65pt;mso-position-horizontal-relative:page;mso-position-vertical-relative:paragraph;z-index:15730688" id="docshape14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Reviewing and preparing employment contracts and non-compete agreements Conducting in-house training on a variety of labor and employment-related </w:t>
      </w:r>
      <w:r>
        <w:rPr>
          <w:color w:val="6E6158"/>
        </w:rPr>
        <w:t>topics</w:t>
      </w:r>
    </w:p>
    <w:p>
      <w:pPr>
        <w:pStyle w:val="BodyText"/>
        <w:spacing w:line="297" w:lineRule="auto" w:before="71"/>
        <w:ind w:left="99" w:right="245"/>
      </w:pPr>
      <w:r>
        <w:rPr>
          <w:color w:val="6E6158"/>
        </w:rPr>
        <w:t>Besides representing employers in National Labor Relations Board proceedings, Christine also has</w:t>
      </w:r>
      <w:r>
        <w:rPr>
          <w:color w:val="6E6158"/>
          <w:spacing w:val="40"/>
        </w:rPr>
        <w:t> </w:t>
      </w:r>
      <w:r>
        <w:rPr>
          <w:color w:val="6E6158"/>
        </w:rPr>
        <w:t>guided employers through union negotiations and corporate campaigns. Christine’s</w:t>
      </w:r>
      <w:r>
        <w:rPr>
          <w:color w:val="6E6158"/>
          <w:spacing w:val="40"/>
        </w:rPr>
        <w:t> </w:t>
      </w:r>
      <w:r>
        <w:rPr>
          <w:color w:val="6E6158"/>
        </w:rPr>
        <w:t>representation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traditional</w:t>
      </w:r>
      <w:r>
        <w:rPr>
          <w:color w:val="6E6158"/>
          <w:spacing w:val="32"/>
        </w:rPr>
        <w:t> </w:t>
      </w:r>
      <w:r>
        <w:rPr>
          <w:color w:val="6E6158"/>
        </w:rPr>
        <w:t>labor</w:t>
      </w:r>
      <w:r>
        <w:rPr>
          <w:color w:val="6E6158"/>
          <w:spacing w:val="32"/>
        </w:rPr>
        <w:t> </w:t>
      </w:r>
      <w:r>
        <w:rPr>
          <w:color w:val="6E6158"/>
        </w:rPr>
        <w:t>context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included</w:t>
      </w:r>
      <w:r>
        <w:rPr>
          <w:color w:val="6E6158"/>
          <w:spacing w:val="32"/>
        </w:rPr>
        <w:t> </w:t>
      </w:r>
      <w:r>
        <w:rPr>
          <w:color w:val="6E6158"/>
        </w:rPr>
        <w:t>both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private</w:t>
      </w:r>
      <w:r>
        <w:rPr>
          <w:color w:val="6E6158"/>
          <w:spacing w:val="32"/>
        </w:rPr>
        <w:t> </w:t>
      </w:r>
      <w:r>
        <w:rPr>
          <w:color w:val="6E6158"/>
        </w:rPr>
        <w:t>entities.</w:t>
      </w:r>
    </w:p>
    <w:p>
      <w:pPr>
        <w:pStyle w:val="BodyText"/>
        <w:spacing w:line="297" w:lineRule="auto" w:before="191"/>
        <w:ind w:left="99" w:right="230"/>
        <w:jc w:val="both"/>
      </w:pPr>
      <w:r>
        <w:rPr>
          <w:color w:val="6E6158"/>
        </w:rPr>
        <w:t>Before joining Fennemore, Christine was a founding partner of Schmoyer Reinhard, LLP. Earlier in her career, she was a counsel in the labor and employment section of Akin Gump Strauss Hauer</w:t>
      </w:r>
      <w:r>
        <w:rPr>
          <w:color w:val="6E6158"/>
          <w:spacing w:val="80"/>
        </w:rPr>
        <w:t> </w:t>
      </w:r>
      <w:r>
        <w:rPr>
          <w:color w:val="6E6158"/>
        </w:rPr>
        <w:t>&amp; Feld LLP.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6"/>
        <w:ind w:right="57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157659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095pt;width:1.65pt;height:1.65pt;mso-position-horizontal-relative:page;mso-position-vertical-relative:paragraph;z-index:15731200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416024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7839pt;width:1.65pt;height:1.65pt;mso-position-horizontal-relative:page;mso-position-vertical-relative:paragraph;z-index:15731712" id="docshape1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Certified in Labor and Employment Law by the Texas Board of Legal Specialization J.D., St. Mary’s University School of Law, </w:t>
      </w:r>
      <w:r>
        <w:rPr>
          <w:i/>
          <w:color w:val="6E6158"/>
          <w:sz w:val="20"/>
        </w:rPr>
        <w:t>summa cum laude</w:t>
      </w:r>
    </w:p>
    <w:p>
      <w:pPr>
        <w:spacing w:line="244" w:lineRule="exact"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65496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57221pt;width:1.65pt;height:1.65pt;mso-position-horizontal-relative:page;mso-position-vertical-relative:paragraph;z-index:15732224" id="docshape17" coordorigin="1670,103" coordsize="33,33" path="m1691,136l1682,136,1678,134,1671,128,1670,124,1670,115,1671,111,1678,105,1682,103,1691,103,1694,105,1701,111,1702,115,1702,119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A&amp;M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2"/>
          <w:sz w:val="20"/>
        </w:rPr>
        <w:t> laude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157899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994pt;width:1.65pt;height:1.65pt;mso-position-horizontal-relative:page;mso-position-vertical-relative:paragraph;z-index:15732736" id="docshape18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248" id="docshape1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554pt;width:1.65pt;height:1.65pt;mso-position-horizontal-relative:page;mso-position-vertical-relative:paragraph;z-index:15733760" id="docshape20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2024 Lee Cusenbary Ethical Life &amp; Leadership Award, Association of Corporate Counsel – San</w:t>
      </w:r>
      <w:r>
        <w:rPr>
          <w:color w:val="6E6158"/>
          <w:spacing w:val="40"/>
        </w:rPr>
        <w:t> </w:t>
      </w:r>
      <w:r>
        <w:rPr>
          <w:color w:val="6E6158"/>
        </w:rPr>
        <w:t>Antonio Chapter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136370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7844pt;width:1.65pt;height:1.65pt;mso-position-horizontal-relative:page;mso-position-vertical-relative:paragraph;z-index:15734272" id="docshape21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Chambers</w:t>
      </w:r>
      <w:r>
        <w:rPr>
          <w:color w:val="6E6158"/>
          <w:spacing w:val="10"/>
        </w:rPr>
        <w:t> </w:t>
      </w:r>
      <w:r>
        <w:rPr>
          <w:color w:val="6E6158"/>
        </w:rPr>
        <w:t>USA,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Employment,</w:t>
      </w:r>
      <w:r>
        <w:rPr>
          <w:color w:val="6E6158"/>
          <w:spacing w:val="10"/>
        </w:rPr>
        <w:t> </w:t>
      </w:r>
      <w:r>
        <w:rPr>
          <w:color w:val="6E6158"/>
        </w:rPr>
        <w:t>Texas,</w:t>
      </w:r>
      <w:r>
        <w:rPr>
          <w:color w:val="6E6158"/>
          <w:spacing w:val="11"/>
        </w:rPr>
        <w:t> </w:t>
      </w:r>
      <w:r>
        <w:rPr>
          <w:color w:val="6E6158"/>
        </w:rPr>
        <w:t>2018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262899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0785pt;width:1.65pt;height:1.65pt;mso-position-horizontal-relative:page;mso-position-vertical-relative:paragraph;z-index:15734784" id="docshape22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San Antonio Lawyer of the Year, Labor Law – Management (2022), Employment</w:t>
      </w:r>
      <w:r>
        <w:rPr>
          <w:color w:val="6E6158"/>
          <w:spacing w:val="34"/>
        </w:rPr>
        <w:t> </w:t>
      </w:r>
      <w:r>
        <w:rPr>
          <w:color w:val="6E6158"/>
        </w:rPr>
        <w:t>Law</w:t>
      </w:r>
      <w:r>
        <w:rPr>
          <w:color w:val="6E6158"/>
          <w:spacing w:val="34"/>
        </w:rPr>
        <w:t> </w:t>
      </w:r>
      <w:r>
        <w:rPr>
          <w:color w:val="6E6158"/>
        </w:rPr>
        <w:t>–</w:t>
      </w:r>
      <w:r>
        <w:rPr>
          <w:color w:val="6E6158"/>
          <w:spacing w:val="34"/>
        </w:rPr>
        <w:t> </w:t>
      </w:r>
      <w:r>
        <w:rPr>
          <w:color w:val="6E6158"/>
        </w:rPr>
        <w:t>Management</w:t>
      </w:r>
      <w:r>
        <w:rPr>
          <w:color w:val="6E6158"/>
          <w:spacing w:val="34"/>
        </w:rPr>
        <w:t> </w:t>
      </w:r>
      <w:r>
        <w:rPr>
          <w:color w:val="6E6158"/>
        </w:rPr>
        <w:t>(2019),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Litigation</w:t>
      </w:r>
      <w:r>
        <w:rPr>
          <w:color w:val="6E6158"/>
          <w:spacing w:val="34"/>
        </w:rPr>
        <w:t> </w:t>
      </w:r>
      <w:r>
        <w:rPr>
          <w:color w:val="6E6158"/>
        </w:rPr>
        <w:t>–</w:t>
      </w:r>
      <w:r>
        <w:rPr>
          <w:color w:val="6E6158"/>
          <w:spacing w:val="34"/>
        </w:rPr>
        <w:t> </w:t>
      </w:r>
      <w:r>
        <w:rPr>
          <w:color w:val="6E6158"/>
        </w:rPr>
        <w:t>Labor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Employment</w:t>
      </w:r>
      <w:r>
        <w:rPr>
          <w:color w:val="6E6158"/>
          <w:spacing w:val="34"/>
        </w:rPr>
        <w:t> </w:t>
      </w:r>
      <w:r>
        <w:rPr>
          <w:color w:val="6E6158"/>
        </w:rPr>
        <w:t>(2012)</w:t>
      </w:r>
    </w:p>
    <w:p>
      <w:pPr>
        <w:pStyle w:val="BodyText"/>
        <w:spacing w:line="420" w:lineRule="auto" w:before="131"/>
        <w:ind w:right="4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142847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809pt;width:1.65pt;height:1.65pt;mso-position-horizontal-relative:page;mso-position-vertical-relative:paragraph;z-index:15735296" id="docshape2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406381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98508pt;width:1.65pt;height:1.65pt;mso-position-horizontal-relative:page;mso-position-vertical-relative:paragraph;z-index:15735808" id="docshape24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2011 – 2026 Thomson Reuters Texas Super Lawyer, 2013 – </w:t>
      </w:r>
      <w:r>
        <w:rPr>
          <w:color w:val="6E6158"/>
        </w:rPr>
        <w:t>2025</w:t>
      </w:r>
    </w:p>
    <w:p>
      <w:pPr>
        <w:spacing w:line="234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63821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303pt;width:1.65pt;height:1.65pt;mso-position-horizontal-relative:page;mso-position-vertical-relative:paragraph;z-index:15736320" id="docshape25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 Labor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Employment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right="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250791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7351pt;width:1.65pt;height:1.65pt;mso-position-horizontal-relative:page;mso-position-vertical-relative:paragraph;z-index:15736832" id="docshape26" coordorigin="1670,395" coordsize="33,33" path="m1691,427l1682,427,1678,426,1671,420,1670,416,1670,407,1671,403,1678,397,1682,395,1691,395,1694,397,1701,403,1702,407,1702,411,1702,416,1701,420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The Future of Remote Work</w:t>
        </w:r>
      </w:hyperlink>
      <w:r>
        <w:rPr>
          <w:color w:val="6E6158"/>
        </w:rPr>
        <w:t>,” The State Bar Litigation Section Report – The Advocate in the Volume 110, Spring 2025 edition</w:t>
      </w:r>
    </w:p>
    <w:p>
      <w:pPr>
        <w:pStyle w:val="BodyText"/>
        <w:spacing w:line="292" w:lineRule="auto" w:before="123"/>
        <w:ind w:right="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230649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356pt;width:1.65pt;height:1.65pt;mso-position-horizontal-relative:page;mso-position-vertical-relative:paragraph;z-index:15737344" id="docshape2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“Practical Litigation,” 32nd Annual Advanced Employment Law </w:t>
      </w:r>
      <w:r>
        <w:rPr>
          <w:color w:val="6E6158"/>
        </w:rPr>
        <w:t>Conference, January 11, 2024</w:t>
      </w:r>
    </w:p>
    <w:p>
      <w:pPr>
        <w:pStyle w:val="BodyText"/>
        <w:spacing w:line="292" w:lineRule="auto" w:before="131"/>
        <w:ind w:right="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329005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05981pt;width:1.65pt;height:1.65pt;mso-position-horizontal-relative:page;mso-position-vertical-relative:paragraph;z-index:15737856" id="docshape28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“Workplace Accommodations Under State and Federal Law, Including the </w:t>
      </w:r>
      <w:r>
        <w:rPr>
          <w:color w:val="6E6158"/>
        </w:rPr>
        <w:t>New Pregnant Workers Fairness Act,” State Bar of Texas Labor &amp; Employment Law Section 33rd Annual Labor and Employment Law Institute, August 26, 2023</w:t>
      </w:r>
    </w:p>
    <w:p>
      <w:pPr>
        <w:pStyle w:val="BodyText"/>
        <w:spacing w:line="302" w:lineRule="auto" w:before="124"/>
        <w:ind w:right="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236644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3446pt;width:1.65pt;height:1.65pt;mso-position-horizontal-relative:page;mso-position-vertical-relative:paragraph;z-index:15738368" id="docshape29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COVID-19’s Impact on the Practice of Employment Law</w:t>
        </w:r>
      </w:hyperlink>
      <w:r>
        <w:rPr>
          <w:color w:val="6E6158"/>
        </w:rPr>
        <w:t>,” Texas Bar Journal, </w:t>
      </w:r>
      <w:r>
        <w:rPr>
          <w:color w:val="6E6158"/>
        </w:rPr>
        <w:t>May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13"/>
        <w:ind w:right="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224353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5632pt;width:1.65pt;height:1.65pt;mso-position-horizontal-relative:page;mso-position-vertical-relative:paragraph;z-index:15738880" id="docshape30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“Not My Employee: The Legal Realities of a Contingent Workforce,” State Bar of Texas, 30th Annual Advanced Employment Law Course, April 22, 2022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152508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8523pt;width:1.65pt;height:1.65pt;mso-position-horizontal-relative:page;mso-position-vertical-relative:paragraph;z-index:15739392" id="docshape3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Life</w:t>
      </w:r>
      <w:r>
        <w:rPr>
          <w:color w:val="6E6158"/>
          <w:spacing w:val="7"/>
        </w:rPr>
        <w:t> </w:t>
      </w:r>
      <w:r>
        <w:rPr>
          <w:color w:val="6E6158"/>
        </w:rPr>
        <w:t>Fellow,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170239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4657pt;width:1.65pt;height:1.65pt;mso-position-horizontal-relative:page;mso-position-vertical-relative:paragraph;z-index:15739904" id="docshape32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Life</w:t>
      </w:r>
      <w:r>
        <w:rPr>
          <w:color w:val="6E6158"/>
          <w:spacing w:val="10"/>
        </w:rPr>
        <w:t> </w:t>
      </w:r>
      <w:r>
        <w:rPr>
          <w:color w:val="6E6158"/>
        </w:rPr>
        <w:t>Fellow,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Antonio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420" w:lineRule="auto" w:before="174"/>
        <w:ind w:right="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175356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591pt;width:1.65pt;height:1.65pt;mso-position-horizontal-relative:page;mso-position-vertical-relative:paragraph;z-index:15740416" id="docshape3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433721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1333pt;width:1.65pt;height:1.65pt;mso-position-horizontal-relative:page;mso-position-vertical-relative:paragraph;z-index:15740928" id="docshape34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Texas Labor and Employment Law Section Council (2022 – 2024) Member, Texas Board of Legal Specialization – Labor &amp; Employment Law Exam Commission</w:t>
      </w:r>
    </w:p>
    <w:p>
      <w:pPr>
        <w:pStyle w:val="BodyText"/>
        <w:spacing w:line="292" w:lineRule="auto" w:before="7"/>
        <w:ind w:right="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156868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1853pt;width:1.65pt;height:1.65pt;mso-position-horizontal-relative:page;mso-position-vertical-relative:paragraph;z-index:15741440" id="docshape35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Scholarship Task Force Member (2022) and Scholarship Committee Member, San Antonio Bar Foundation (2023)</w:t>
      </w:r>
    </w:p>
    <w:p>
      <w:pPr>
        <w:pStyle w:val="BodyText"/>
        <w:spacing w:line="420" w:lineRule="auto" w:before="123"/>
        <w:ind w:right="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142860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8892pt;width:1.65pt;height:1.65pt;mso-position-horizontal-relative:page;mso-position-vertical-relative:paragraph;z-index:15741952" id="docshape3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401226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2659pt;width:1.65pt;height:1.65pt;mso-position-horizontal-relative:page;mso-position-vertical-relative:paragraph;z-index:15742464" id="docshape37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Symposium and Seminars Co-Chair, LEAD Academy Steering Committee (2016 – </w:t>
      </w:r>
      <w:r>
        <w:rPr>
          <w:color w:val="6E6158"/>
        </w:rPr>
        <w:t>2022) Board Member, San Antonio Bar Association (2014 – 2018)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63746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434pt;width:1.65pt;height:1.65pt;mso-position-horizontal-relative:page;mso-position-vertical-relative:paragraph;z-index:15742976" id="docshape38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0"/>
        </w:rPr>
        <w:t> </w:t>
      </w:r>
      <w:r>
        <w:rPr>
          <w:color w:val="6E6158"/>
        </w:rPr>
        <w:t>President</w:t>
      </w:r>
      <w:r>
        <w:rPr>
          <w:color w:val="6E6158"/>
          <w:spacing w:val="10"/>
        </w:rPr>
        <w:t> </w:t>
      </w:r>
      <w:r>
        <w:rPr>
          <w:color w:val="6E6158"/>
        </w:rPr>
        <w:t>(2010)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Bexar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Women’s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157547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33pt;width:1.65pt;height:1.65pt;mso-position-horizontal-relative:page;mso-position-vertical-relative:paragraph;z-index:15743488" id="docshape39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175277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416pt;width:1.65pt;height:1.65pt;mso-position-horizontal-relative:page;mso-position-vertical-relative:paragraph;z-index:15744000" id="docshape4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175227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454pt;width:1.65pt;height:1.65pt;mso-position-horizontal-relative:page;mso-position-vertical-relative:paragraph;z-index:15744512" id="docshape41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175264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388pt;width:1.65pt;height:1.65pt;mso-position-horizontal-relative:page;mso-position-vertical-relative:paragraph;z-index:15745024" id="docshape4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5536" id="docshape4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6048" id="docshape4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185622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1591pt;width:1.65pt;height:1.65pt;mso-position-horizontal-relative:page;mso-position-vertical-relative:paragraph;z-index:15746560" id="docshape45" coordorigin="1670,292" coordsize="33,33" path="m1691,325l1682,325,1678,323,1671,317,1670,313,1670,304,1671,300,1678,294,1682,292,1691,292,1694,294,1701,300,1702,304,1702,309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5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180318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198273pt;width:1.65pt;height:1.65pt;mso-position-horizontal-relative:page;mso-position-vertical-relative:paragraph;z-index:15747072" id="docshape46" coordorigin="1670,284" coordsize="33,33" path="m1691,317l1682,317,1678,315,1671,309,1670,305,1670,296,1671,292,1678,286,1682,284,1691,284,1694,286,1701,292,1702,296,1702,300,1702,305,1701,309,1694,315,1691,3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10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creinhard@fennemorelaw.com" TargetMode="External"/><Relationship Id="rId11" Type="http://schemas.openxmlformats.org/officeDocument/2006/relationships/hyperlink" Target="https://sr-llp.com/wp-content/uploads/2025/04/The-Future-of-Remote-Work.pdf" TargetMode="External"/><Relationship Id="rId12" Type="http://schemas.openxmlformats.org/officeDocument/2006/relationships/hyperlink" Target="https://sr-llp.com/wp-content/uploads/2022/05/Texas-Bar-Journal-COVID-19-Impact-on-the-Practive-of-Employment-Law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Reinhard - Fennemore</dc:title>
  <dcterms:created xsi:type="dcterms:W3CDTF">2026-01-22T11:13:05Z</dcterms:created>
  <dcterms:modified xsi:type="dcterms:W3CDTF">2026-01-22T11:13:05Z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