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onsour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79" w:right="1381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MONSOUR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dmonsour@fennemorelaw.com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onsour 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79" w:right="1381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MONSOUR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dmonsour@fennemorelaw.com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DAVID</w:t>
      </w:r>
      <w:r>
        <w:rPr>
          <w:color w:val="FF8100"/>
          <w:spacing w:val="5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MONSOUR</w:t>
      </w:r>
    </w:p>
    <w:p>
      <w:pPr>
        <w:pStyle w:val="BodyText"/>
        <w:spacing w:line="297" w:lineRule="auto" w:before="147"/>
        <w:ind w:left="99" w:right="718"/>
      </w:pPr>
      <w:r>
        <w:rPr>
          <w:color w:val="6E6158"/>
        </w:rPr>
        <w:t>David practices on behalf of his clients in the area of trusts and estates litigation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and counsels trustees, beneficiaries, and professional fiduciaries through all phases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T&amp;E disputes, from pre-litigation matters through trial.</w:t>
      </w:r>
    </w:p>
    <w:p>
      <w:pPr>
        <w:pStyle w:val="BodyText"/>
        <w:spacing w:before="191"/>
        <w:ind w:left="99"/>
      </w:pP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attended</w:t>
      </w:r>
      <w:r>
        <w:rPr>
          <w:color w:val="6E6158"/>
          <w:spacing w:val="11"/>
        </w:rPr>
        <w:t> </w:t>
      </w:r>
      <w:r>
        <w:rPr>
          <w:color w:val="6E6158"/>
        </w:rPr>
        <w:t>undergrad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Austin,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graduated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beta</w:t>
      </w:r>
    </w:p>
    <w:p>
      <w:pPr>
        <w:pStyle w:val="BodyText"/>
        <w:spacing w:line="302" w:lineRule="auto" w:before="52"/>
        <w:ind w:left="99" w:right="763"/>
      </w:pPr>
      <w:r>
        <w:rPr>
          <w:color w:val="6E6158"/>
        </w:rPr>
        <w:t>gamma sigma with a Bachelor of Business Administration from the Red McCombs School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Business.</w:t>
      </w:r>
      <w:r>
        <w:rPr>
          <w:color w:val="6E6158"/>
          <w:spacing w:val="28"/>
        </w:rPr>
        <w:t> </w:t>
      </w:r>
      <w:r>
        <w:rPr>
          <w:color w:val="6E6158"/>
        </w:rPr>
        <w:t>David</w:t>
      </w:r>
      <w:r>
        <w:rPr>
          <w:color w:val="6E6158"/>
          <w:spacing w:val="28"/>
        </w:rPr>
        <w:t> </w:t>
      </w:r>
      <w:r>
        <w:rPr>
          <w:color w:val="6E6158"/>
        </w:rPr>
        <w:t>attended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received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Juris</w:t>
      </w:r>
      <w:r>
        <w:rPr>
          <w:color w:val="6E6158"/>
          <w:spacing w:val="28"/>
        </w:rPr>
        <w:t> </w:t>
      </w:r>
      <w:r>
        <w:rPr>
          <w:color w:val="6E6158"/>
        </w:rPr>
        <w:t>Doctor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99" w:right="718"/>
      </w:pPr>
      <w:r>
        <w:rPr>
          <w:color w:val="6E6158"/>
        </w:rPr>
        <w:t>California College of the Law, San Francisco (formerly UC Hastings). While in law school, David</w:t>
      </w:r>
      <w:r>
        <w:rPr>
          <w:color w:val="6E6158"/>
          <w:spacing w:val="40"/>
        </w:rPr>
        <w:t> </w:t>
      </w:r>
      <w:r>
        <w:rPr>
          <w:color w:val="6E6158"/>
        </w:rPr>
        <w:t>externed for the Honorable Edward J. Davila of the United States District Court, Northern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 and for the Office of the Circuit Executive for the Ninth Circuit Court of Appeals in</w:t>
      </w:r>
      <w:r>
        <w:rPr>
          <w:color w:val="6E6158"/>
          <w:spacing w:val="40"/>
        </w:rPr>
        <w:t> </w:t>
      </w:r>
      <w:r>
        <w:rPr>
          <w:color w:val="6E6158"/>
        </w:rPr>
        <w:t>San Francisco.</w:t>
      </w:r>
    </w:p>
    <w:p>
      <w:pPr>
        <w:pStyle w:val="BodyText"/>
        <w:spacing w:before="187"/>
        <w:ind w:left="99"/>
      </w:pP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professional,</w:t>
      </w:r>
      <w:r>
        <w:rPr>
          <w:color w:val="6E6158"/>
          <w:spacing w:val="11"/>
        </w:rPr>
        <w:t> </w:t>
      </w: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assists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solving</w:t>
      </w:r>
      <w:r>
        <w:rPr>
          <w:color w:val="6E6158"/>
          <w:spacing w:val="11"/>
        </w:rPr>
        <w:t> </w:t>
      </w:r>
      <w:r>
        <w:rPr>
          <w:color w:val="6E6158"/>
        </w:rPr>
        <w:t>difficult,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times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emotional</w:t>
      </w:r>
    </w:p>
    <w:p>
      <w:pPr>
        <w:pStyle w:val="BodyText"/>
        <w:spacing w:line="292" w:lineRule="auto" w:before="52"/>
        <w:ind w:left="99" w:right="763"/>
      </w:pPr>
      <w:r>
        <w:rPr>
          <w:color w:val="6E6158"/>
        </w:rPr>
        <w:t>problems. His practice thrives on developing and maintaining trusted relationships with each</w:t>
      </w:r>
      <w:r>
        <w:rPr>
          <w:color w:val="6E6158"/>
          <w:spacing w:val="40"/>
        </w:rPr>
        <w:t> </w:t>
      </w:r>
      <w:r>
        <w:rPr>
          <w:color w:val="6E6158"/>
        </w:rPr>
        <w:t>client,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crafting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  <w:r>
        <w:rPr>
          <w:color w:val="6E6158"/>
          <w:spacing w:val="17"/>
        </w:rPr>
        <w:t> </w:t>
      </w:r>
      <w:r>
        <w:rPr>
          <w:color w:val="6E6158"/>
        </w:rPr>
        <w:t>David’s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results-</w:t>
      </w:r>
      <w:r>
        <w:rPr>
          <w:color w:val="6E6158"/>
          <w:spacing w:val="-2"/>
        </w:rPr>
        <w:t>oriented</w:t>
      </w:r>
    </w:p>
    <w:p>
      <w:pPr>
        <w:pStyle w:val="BodyText"/>
        <w:spacing w:line="292" w:lineRule="auto" w:before="10"/>
        <w:ind w:left="99" w:right="522"/>
      </w:pPr>
      <w:r>
        <w:rPr>
          <w:color w:val="6E6158"/>
        </w:rPr>
        <w:t>approach helps his clients achieve their ultimate goals, whether through reaching an </w:t>
      </w:r>
      <w:r>
        <w:rPr>
          <w:color w:val="6E6158"/>
        </w:rPr>
        <w:t>amicable</w:t>
      </w:r>
      <w:r>
        <w:rPr>
          <w:color w:val="6E6158"/>
          <w:spacing w:val="40"/>
        </w:rPr>
        <w:t> </w:t>
      </w:r>
      <w:r>
        <w:rPr>
          <w:color w:val="6E6158"/>
        </w:rPr>
        <w:t>settlement or diligently litigating and defending against claims at trial or on appeal. David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recognized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Rising</w:t>
      </w:r>
      <w:r>
        <w:rPr>
          <w:color w:val="6E6158"/>
          <w:spacing w:val="26"/>
        </w:rPr>
        <w:t> </w:t>
      </w:r>
      <w:r>
        <w:rPr>
          <w:color w:val="6E6158"/>
        </w:rPr>
        <w:t>Star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Super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  <w:ind w:left="99"/>
      </w:pPr>
      <w:r>
        <w:rPr>
          <w:color w:val="6E6158"/>
        </w:rPr>
        <w:t>America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area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99" w:right="718"/>
      </w:pPr>
      <w:r>
        <w:rPr>
          <w:color w:val="6E6158"/>
        </w:rPr>
        <w:t>In his free time, David enjoys volunteering, writing about films, live music, and park days. He lives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San Francisco with his wife and their cat, Frankie.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251013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4837pt;width:1.65pt;height:1.65pt;mso-position-horizontal-relative:page;mso-position-vertical-relative:paragraph;z-index:15729152" id="docshape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UC Hastings College</w:t>
      </w:r>
      <w:r>
        <w:rPr>
          <w:color w:val="6E6158"/>
          <w:spacing w:val="80"/>
        </w:rPr>
        <w:t> </w:t>
      </w:r>
      <w:r>
        <w:rPr>
          <w:color w:val="6E6158"/>
        </w:rPr>
        <w:t>of the Law)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136272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0107pt;width:1.65pt;height:1.65pt;mso-position-horizontal-relative:page;mso-position-vertical-relative:paragraph;z-index:15729664" id="docshape8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B.B.A.,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Austin,</w:t>
      </w:r>
      <w:r>
        <w:rPr>
          <w:color w:val="6E6158"/>
          <w:spacing w:val="10"/>
        </w:rPr>
        <w:t> </w:t>
      </w:r>
      <w:r>
        <w:rPr>
          <w:color w:val="6E6158"/>
        </w:rPr>
        <w:t>Red</w:t>
      </w:r>
      <w:r>
        <w:rPr>
          <w:color w:val="6E6158"/>
          <w:spacing w:val="10"/>
        </w:rPr>
        <w:t> </w:t>
      </w:r>
      <w:r>
        <w:rPr>
          <w:color w:val="6E6158"/>
        </w:rPr>
        <w:t>McCombs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157595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131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1712" id="docshape1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</w:t>
      </w:r>
      <w:hyperlink r:id="rId11">
        <w:r>
          <w:rPr>
            <w:color w:val="F5821F"/>
          </w:rPr>
          <w:t>“How the One Big Beautiful Bill Act reshapes estate plans and disputes — and how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families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ending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up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court,”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Francisco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Times,</w:t>
      </w:r>
      <w:r>
        <w:rPr>
          <w:color w:val="6E6158"/>
          <w:spacing w:val="28"/>
        </w:rPr>
        <w:t> </w:t>
      </w:r>
      <w:r>
        <w:rPr>
          <w:color w:val="6E6158"/>
        </w:rPr>
        <w:t>August</w:t>
      </w:r>
      <w:r>
        <w:rPr>
          <w:color w:val="6E6158"/>
          <w:spacing w:val="28"/>
        </w:rPr>
        <w:t> </w:t>
      </w:r>
      <w:r>
        <w:rPr>
          <w:color w:val="6E6158"/>
        </w:rPr>
        <w:t>5,</w:t>
      </w:r>
      <w:r>
        <w:rPr>
          <w:color w:val="6E6158"/>
          <w:spacing w:val="2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13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739pt;width:1.65pt;height:1.65pt;mso-position-horizontal-relative:page;mso-position-vertical-relative:paragraph;z-index:15732224" id="docshape12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UC Law San Francisco,” California Lawyers Association, Trusts and Estates Executive Committee, March 27, 2024</w:t>
      </w:r>
    </w:p>
    <w:p>
      <w:pPr>
        <w:pStyle w:val="BodyText"/>
        <w:spacing w:line="302" w:lineRule="auto" w:before="123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16pt;width:1.65pt;height:1.65pt;mso-position-horizontal-relative:page;mso-position-vertical-relative:paragraph;z-index:15732736" id="docshape13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Update Co-Author for California Trust and Probate Litigation (Cal CEB), Chapter 20 </w:t>
      </w:r>
      <w:r>
        <w:rPr>
          <w:color w:val="6E6158"/>
        </w:rPr>
        <w:t>(Trust Contests) and Chapter 21 (Breach of Trust), 2023-2025</w:t>
      </w:r>
    </w:p>
    <w:p>
      <w:pPr>
        <w:pStyle w:val="BodyText"/>
        <w:spacing w:before="113"/>
      </w:pPr>
      <w:r>
        <w:rPr>
          <w:color w:val="6E6158"/>
        </w:rPr>
        <w:t>Co-Presenter,</w:t>
      </w:r>
      <w:r>
        <w:rPr>
          <w:color w:val="6E6158"/>
          <w:spacing w:val="10"/>
        </w:rPr>
        <w:t> </w:t>
      </w:r>
      <w:r>
        <w:rPr>
          <w:color w:val="6E6158"/>
        </w:rPr>
        <w:t>EBTEL</w:t>
      </w:r>
      <w:r>
        <w:rPr>
          <w:color w:val="6E6158"/>
          <w:spacing w:val="10"/>
        </w:rPr>
        <w:t> </w:t>
      </w:r>
      <w:r>
        <w:rPr>
          <w:color w:val="6E6158"/>
        </w:rPr>
        <w:t>Speaker</w:t>
      </w:r>
      <w:r>
        <w:rPr>
          <w:color w:val="6E6158"/>
          <w:spacing w:val="11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Planners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0"/>
        </w:rPr>
        <w:t> </w:t>
      </w:r>
      <w:r>
        <w:rPr>
          <w:color w:val="6E6158"/>
        </w:rPr>
        <w:t>Know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Litigator’s</w:t>
      </w:r>
    </w:p>
    <w:p>
      <w:pPr>
        <w:pStyle w:val="BodyText"/>
        <w:spacing w:line="292" w:lineRule="auto" w:before="52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97583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3777pt;width:1.65pt;height:1.65pt;mso-position-horizontal-relative:page;mso-position-vertical-relative:paragraph;z-index:15733248" id="docshape14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Perspective, Tips, Strategies, and Pitfalls to Avoid for Estate Planners to Prevent or Minimize</w:t>
      </w:r>
      <w:r>
        <w:rPr>
          <w:color w:val="6E6158"/>
          <w:spacing w:val="40"/>
        </w:rPr>
        <w:t> </w:t>
      </w:r>
      <w:r>
        <w:rPr>
          <w:color w:val="6E6158"/>
        </w:rPr>
        <w:t>Litigation,” East Bay Trusts and Estates Lawyers, August 9,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235857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455pt;width:1.65pt;height:1.65pt;mso-position-horizontal-relative:page;mso-position-vertical-relative:paragraph;z-index:15733760" id="docshape1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Featuring, “Conversation On Lessons Learned &amp; Life In The Law With Attorney David Monsour,”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Fennemore Blog, August 17, 2023</w:t>
        </w:r>
      </w:hyperlink>
    </w:p>
    <w:p>
      <w:pPr>
        <w:pStyle w:val="BodyText"/>
        <w:spacing w:line="302" w:lineRule="auto" w:before="123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33pt;width:1.65pt;height:1.65pt;mso-position-horizontal-relative:page;mso-position-vertical-relative:paragraph;z-index:15734272" id="docshape1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at Berkeley Law,” California Lawyers Association, Trusts and Estates Executive Committee, March 22, 2023</w:t>
      </w:r>
    </w:p>
    <w:p>
      <w:pPr>
        <w:pStyle w:val="BodyText"/>
        <w:spacing w:line="292" w:lineRule="auto" w:before="113"/>
        <w:ind w:right="7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224466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4519pt;width:1.65pt;height:1.65pt;mso-position-horizontal-relative:page;mso-position-vertical-relative:paragraph;z-index:15734784" id="docshape1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Featuring, “Fennemore attorney David Monsour Shares Insights on Estate Planning, Tips </w:t>
        </w:r>
        <w:r>
          <w:rPr>
            <w:color w:val="F5821F"/>
          </w:rPr>
          <w:t>for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Trusts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Estates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Litigation,”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San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Francisco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Times,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2024</w:t>
        </w:r>
      </w:hyperlink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39"/>
        <w:ind w:left="351" w:right="76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261048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54976pt;width:1.65pt;height:1.65pt;mso-position-horizontal-relative:page;mso-position-vertical-relative:paragraph;z-index:15735296" id="docshape18" coordorigin="1670,411" coordsize="33,33" path="m1691,444l1682,444,1678,442,1671,436,1670,432,1670,423,1671,419,1678,413,1682,411,1691,411,1694,413,1701,419,1702,423,1702,427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Litigation – Trusts and Estates, Trusts and Estates, 2024 – 2026</w:t>
      </w:r>
    </w:p>
    <w:p>
      <w:pPr>
        <w:spacing w:before="10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139083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51448pt;width:1.65pt;height:1.65pt;mso-position-horizontal-relative:page;mso-position-vertical-relative:paragraph;z-index:15735808" id="docshape19" coordorigin="1670,219" coordsize="33,33" path="m1691,252l1682,252,1678,250,1671,244,1670,240,1670,231,1671,227,1678,221,1682,219,1691,219,1694,221,1701,227,1702,231,1702,235,1702,240,1701,244,1694,250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157701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435pt;width:1.65pt;height:1.65pt;mso-position-horizontal-relative:page;mso-position-vertical-relative:paragraph;z-index:15736320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(SBN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#301448)</w:t>
      </w:r>
    </w:p>
    <w:p>
      <w:pPr>
        <w:pStyle w:val="BodyText"/>
        <w:spacing w:line="400" w:lineRule="atLeast" w:before="15"/>
        <w:ind w:right="44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1060346</wp:posOffset>
                </wp:positionH>
                <wp:positionV relativeFrom="paragraph">
                  <wp:posOffset>526808</wp:posOffset>
                </wp:positionV>
                <wp:extent cx="20955" cy="209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80984pt;width:1.65pt;height:1.65pt;mso-position-horizontal-relative:page;mso-position-vertical-relative:paragraph;z-index:-15726592;mso-wrap-distance-left:0;mso-wrap-distance-right:0" id="docshape21" coordorigin="1670,830" coordsize="33,33" path="m1691,862l1682,862,1678,861,1671,854,1670,850,1670,841,1671,838,1678,831,1682,830,1691,830,1694,831,1701,838,1702,841,1702,846,1702,850,1701,854,1694,861,1691,86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175431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497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1375552</wp:posOffset>
                </wp:positionH>
                <wp:positionV relativeFrom="paragraph">
                  <wp:posOffset>619820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804726pt;width:1.65pt;height:1.65pt;mso-position-horizontal-relative:page;mso-position-vertical-relative:paragraph;z-index:15737344" id="docshape23" coordorigin="2166,976" coordsize="33,33" path="m2187,1009l2178,1009,2174,1007,2168,1001,2166,997,2166,988,2168,984,2174,978,2178,976,2187,976,2191,978,2197,984,2199,988,2199,992,2199,997,2197,1001,2191,1007,2187,10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Trusts and Estates </w:t>
      </w:r>
      <w:r>
        <w:rPr>
          <w:color w:val="6E6158"/>
        </w:rPr>
        <w:t>Lawyers Member, Alameda County Bar Association</w:t>
      </w:r>
    </w:p>
    <w:p>
      <w:pPr>
        <w:pStyle w:val="BodyText"/>
        <w:spacing w:before="12"/>
        <w:ind w:left="848"/>
      </w:pPr>
      <w:r>
        <w:rPr>
          <w:color w:val="6E6158"/>
        </w:rPr>
        <w:t>JAEC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7" w:lineRule="auto" w:before="174"/>
        <w:ind w:right="4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306pt;width:1.65pt;height:1.65pt;mso-position-horizontal-relative:page;mso-position-vertical-relative:paragraph;z-index:15737856" id="docshape2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433527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047pt;width:1.65pt;height:1.65pt;mso-position-horizontal-relative:page;mso-position-vertical-relative:paragraph;z-index:15738368" id="docshape25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Contra Costa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Francisco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/>
        <w:ind w:right="2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59954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834pt;width:1.65pt;height:1.65pt;mso-position-horizontal-relative:page;mso-position-vertical-relative:paragraph;z-index:15738880" id="docshape26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318320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4577pt;width:1.65pt;height:1.65pt;mso-position-horizontal-relative:page;mso-position-vertical-relative:paragraph;z-index:15739392" id="docshape27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576685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408344pt;width:1.65pt;height:1.65pt;mso-position-horizontal-relative:page;mso-position-vertical-relative:paragraph;z-index:15739904" id="docshape28" coordorigin="1670,908" coordsize="33,33" path="m1691,941l1682,941,1678,939,1671,933,1670,929,1670,920,1671,916,1678,910,1682,908,1691,908,1694,910,1701,916,1702,920,1702,924,1702,929,1701,933,1694,939,1691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Estates</w:t>
      </w:r>
      <w:r>
        <w:rPr>
          <w:color w:val="6E6158"/>
          <w:spacing w:val="40"/>
        </w:rPr>
        <w:t> </w:t>
      </w:r>
      <w:r>
        <w:rPr>
          <w:color w:val="6E6158"/>
        </w:rPr>
        <w:t>Section,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</w:rPr>
        <w:t> Member, Fennemore Community Service &amp; Outreach Committee, Oakland Volunteer, Operation Dignity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58440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1636pt;width:1.65pt;height:1.65pt;mso-position-horizontal-relative:page;mso-position-vertical-relative:paragraph;z-index:15740416" id="docshape29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9"/>
        </w:rPr>
        <w:t> </w:t>
      </w:r>
      <w:r>
        <w:rPr>
          <w:color w:val="6E6158"/>
        </w:rPr>
        <w:t>Food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Bank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157956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531pt;width:1.65pt;height:1.65pt;mso-position-horizontal-relative:page;mso-position-vertical-relative:paragraph;z-index:15740928" id="docshape3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onsour@fennemorelaw.com" TargetMode="External"/><Relationship Id="rId11" Type="http://schemas.openxmlformats.org/officeDocument/2006/relationships/hyperlink" Target="https://www.bizjournals.com/sanfrancisco/news/2025/08/05/one-big-beautiful-bill-act-reshapes-estate-plans.html" TargetMode="External"/><Relationship Id="rId12" Type="http://schemas.openxmlformats.org/officeDocument/2006/relationships/hyperlink" Target="https://www.fennemorelaw.com/i-feel-fortunate-to-work-with-such-phenomenal-attorneys-and-amazing-human-beings/" TargetMode="External"/><Relationship Id="rId13" Type="http://schemas.openxmlformats.org/officeDocument/2006/relationships/hyperlink" Target="https://www.bizjournals.com/sanfrancisco/news/2024/08/01/fennemore-avoiding-estate-litigat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F. Monsour - Fennemore</dc:title>
  <dcterms:created xsi:type="dcterms:W3CDTF">2026-01-21T20:29:01Z</dcterms:created>
  <dcterms:modified xsi:type="dcterms:W3CDTF">2026-01-21T20:29:01Z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2026-01-21T00:00:00Z</vt:filetime>
  </property>
  <property fmtid="{D5CDD505-2E9C-101B-9397-08002B2CF9AE}" pid="5" name="Producer">
    <vt:lpwstr>Skia/PDF m142</vt:lpwstr>
  </property>
</Properties>
</file>