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ylan Farm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86823" y="763308"/>
                            <a:ext cx="114681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DYLAN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FARMER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2133494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1054" y="2500373"/>
                            <a:ext cx="14979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dfarmer@fennemorelaw.com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9152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Dylan Farmer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14;top:-3887;width:180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DYLAN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FARMER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337;top:-1151;width:235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dfarmer@fennemorelaw.com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DYLAN</w:t>
      </w:r>
      <w:r>
        <w:rPr>
          <w:color w:val="FF8100"/>
          <w:spacing w:val="6"/>
        </w:rPr>
        <w:t> </w:t>
      </w:r>
      <w:r>
        <w:rPr>
          <w:color w:val="FF8100"/>
        </w:rPr>
        <w:t>A.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FARMER</w:t>
      </w:r>
    </w:p>
    <w:p>
      <w:pPr>
        <w:pStyle w:val="BodyText"/>
        <w:spacing w:line="302" w:lineRule="auto" w:before="146"/>
        <w:ind w:left="99" w:right="406"/>
      </w:pPr>
      <w:r>
        <w:rPr>
          <w:color w:val="6E6158"/>
        </w:rPr>
        <w:t>Dylan A. Farmer is an attorney in Fennemore’s San Antonio office whose practice focuses on</w:t>
      </w:r>
      <w:r>
        <w:rPr>
          <w:color w:val="6E6158"/>
          <w:spacing w:val="40"/>
        </w:rPr>
        <w:t> </w:t>
      </w:r>
      <w:r>
        <w:rPr>
          <w:color w:val="6E6158"/>
        </w:rPr>
        <w:t>labor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employment</w:t>
      </w:r>
      <w:r>
        <w:rPr>
          <w:color w:val="6E6158"/>
          <w:spacing w:val="36"/>
        </w:rPr>
        <w:t> </w:t>
      </w:r>
      <w:r>
        <w:rPr>
          <w:color w:val="6E6158"/>
        </w:rPr>
        <w:t>law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construction</w:t>
      </w:r>
      <w:r>
        <w:rPr>
          <w:color w:val="6E6158"/>
          <w:spacing w:val="36"/>
        </w:rPr>
        <w:t> </w:t>
      </w:r>
      <w:r>
        <w:rPr>
          <w:color w:val="6E6158"/>
        </w:rPr>
        <w:t>litigation</w:t>
      </w:r>
      <w:r>
        <w:rPr>
          <w:color w:val="6E6158"/>
          <w:spacing w:val="36"/>
        </w:rPr>
        <w:t> </w:t>
      </w:r>
      <w:r>
        <w:rPr>
          <w:color w:val="6E6158"/>
        </w:rPr>
        <w:t>throughout</w:t>
      </w:r>
      <w:r>
        <w:rPr>
          <w:color w:val="6E6158"/>
          <w:spacing w:val="36"/>
        </w:rPr>
        <w:t> </w:t>
      </w:r>
      <w:r>
        <w:rPr>
          <w:color w:val="6E6158"/>
        </w:rPr>
        <w:t>Texas.</w:t>
      </w:r>
      <w:r>
        <w:rPr>
          <w:color w:val="6E6158"/>
          <w:spacing w:val="36"/>
        </w:rPr>
        <w:t> </w:t>
      </w:r>
      <w:r>
        <w:rPr>
          <w:color w:val="6E6158"/>
        </w:rPr>
        <w:t>He</w:t>
      </w:r>
      <w:r>
        <w:rPr>
          <w:color w:val="6E6158"/>
          <w:spacing w:val="36"/>
        </w:rPr>
        <w:t> </w:t>
      </w:r>
      <w:r>
        <w:rPr>
          <w:color w:val="6E6158"/>
        </w:rPr>
        <w:t>represents</w:t>
      </w:r>
    </w:p>
    <w:p>
      <w:pPr>
        <w:pStyle w:val="BodyText"/>
        <w:spacing w:line="292" w:lineRule="auto"/>
        <w:ind w:left="99" w:right="406"/>
      </w:pPr>
      <w:r>
        <w:rPr>
          <w:color w:val="6E6158"/>
        </w:rPr>
        <w:t>employers, contractors, and business leaders in both federal and state courts, providing</w:t>
      </w:r>
      <w:r>
        <w:rPr>
          <w:color w:val="6E6158"/>
          <w:spacing w:val="40"/>
        </w:rPr>
        <w:t> </w:t>
      </w:r>
      <w:r>
        <w:rPr>
          <w:color w:val="6E6158"/>
        </w:rPr>
        <w:t>practical and strategic counsel on a wide range of workplace and construction-related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before="196"/>
        <w:ind w:left="99"/>
      </w:pP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employment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side,</w:t>
      </w:r>
      <w:r>
        <w:rPr>
          <w:color w:val="6E6158"/>
          <w:spacing w:val="13"/>
        </w:rPr>
        <w:t> </w:t>
      </w:r>
      <w:r>
        <w:rPr>
          <w:color w:val="6E6158"/>
        </w:rPr>
        <w:t>Dylan</w:t>
      </w:r>
      <w:r>
        <w:rPr>
          <w:color w:val="6E6158"/>
          <w:spacing w:val="14"/>
        </w:rPr>
        <w:t> </w:t>
      </w:r>
      <w:r>
        <w:rPr>
          <w:color w:val="6E6158"/>
        </w:rPr>
        <w:t>has</w:t>
      </w:r>
      <w:r>
        <w:rPr>
          <w:color w:val="6E6158"/>
          <w:spacing w:val="13"/>
        </w:rPr>
        <w:t> </w:t>
      </w:r>
      <w:r>
        <w:rPr>
          <w:color w:val="6E6158"/>
        </w:rPr>
        <w:t>successfully</w:t>
      </w:r>
      <w:r>
        <w:rPr>
          <w:color w:val="6E6158"/>
          <w:spacing w:val="13"/>
        </w:rPr>
        <w:t> </w:t>
      </w:r>
      <w:r>
        <w:rPr>
          <w:color w:val="6E6158"/>
        </w:rPr>
        <w:t>managed</w:t>
      </w:r>
      <w:r>
        <w:rPr>
          <w:color w:val="6E6158"/>
          <w:spacing w:val="13"/>
        </w:rPr>
        <w:t> </w:t>
      </w:r>
      <w:r>
        <w:rPr>
          <w:color w:val="6E6158"/>
        </w:rPr>
        <w:t>complex</w:t>
      </w:r>
      <w:r>
        <w:rPr>
          <w:color w:val="6E6158"/>
          <w:spacing w:val="13"/>
        </w:rPr>
        <w:t> </w:t>
      </w:r>
      <w:r>
        <w:rPr>
          <w:color w:val="6E6158"/>
        </w:rPr>
        <w:t>litigation</w:t>
      </w:r>
      <w:r>
        <w:rPr>
          <w:color w:val="6E6158"/>
          <w:spacing w:val="13"/>
        </w:rPr>
        <w:t> </w:t>
      </w:r>
      <w:r>
        <w:rPr>
          <w:color w:val="6E6158"/>
        </w:rPr>
        <w:t>from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initial</w:t>
      </w:r>
    </w:p>
    <w:p>
      <w:pPr>
        <w:pStyle w:val="BodyText"/>
        <w:spacing w:line="295" w:lineRule="auto" w:before="52"/>
        <w:ind w:left="99" w:right="108"/>
      </w:pPr>
      <w:r>
        <w:rPr>
          <w:color w:val="6E6158"/>
        </w:rPr>
        <w:t>complaint through appeal, including cases involving the U.S. and Texas Constitutions, Title VII,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Americans with Disabilities Act (ADA), and the Age Discrimination in Employment Act (ADEA), as</w:t>
      </w:r>
      <w:r>
        <w:rPr>
          <w:color w:val="6E6158"/>
          <w:spacing w:val="40"/>
        </w:rPr>
        <w:t> </w:t>
      </w:r>
      <w:r>
        <w:rPr>
          <w:color w:val="6E6158"/>
        </w:rPr>
        <w:t>well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state</w:t>
      </w:r>
      <w:r>
        <w:rPr>
          <w:color w:val="6E6158"/>
          <w:spacing w:val="29"/>
        </w:rPr>
        <w:t> </w:t>
      </w:r>
      <w:r>
        <w:rPr>
          <w:color w:val="6E6158"/>
        </w:rPr>
        <w:t>anti-discrimination</w:t>
      </w:r>
      <w:r>
        <w:rPr>
          <w:color w:val="6E6158"/>
          <w:spacing w:val="29"/>
        </w:rPr>
        <w:t> </w:t>
      </w:r>
      <w:r>
        <w:rPr>
          <w:color w:val="6E6158"/>
        </w:rPr>
        <w:t>laws.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addition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employment</w:t>
      </w:r>
      <w:r>
        <w:rPr>
          <w:color w:val="6E6158"/>
          <w:spacing w:val="29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work,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assists clients with employee handbooks, workplace policies, employment agreements, and other key</w:t>
      </w:r>
      <w:r>
        <w:rPr>
          <w:color w:val="6E6158"/>
          <w:spacing w:val="40"/>
        </w:rPr>
        <w:t> </w:t>
      </w:r>
      <w:r>
        <w:rPr>
          <w:color w:val="6E6158"/>
        </w:rPr>
        <w:t>business documents. On the construction side, he handles construction defect claims and helps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navigate</w:t>
      </w:r>
      <w:r>
        <w:rPr>
          <w:color w:val="6E6158"/>
          <w:spacing w:val="29"/>
        </w:rPr>
        <w:t> </w:t>
      </w:r>
      <w:r>
        <w:rPr>
          <w:color w:val="6E6158"/>
        </w:rPr>
        <w:t>breach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contract</w:t>
      </w:r>
      <w:r>
        <w:rPr>
          <w:color w:val="6E6158"/>
          <w:spacing w:val="29"/>
        </w:rPr>
        <w:t> </w:t>
      </w:r>
      <w:r>
        <w:rPr>
          <w:color w:val="6E6158"/>
        </w:rPr>
        <w:t>disputes,</w:t>
      </w:r>
      <w:r>
        <w:rPr>
          <w:color w:val="6E6158"/>
          <w:spacing w:val="29"/>
        </w:rPr>
        <w:t> </w:t>
      </w:r>
      <w:r>
        <w:rPr>
          <w:color w:val="6E6158"/>
        </w:rPr>
        <w:t>negligent</w:t>
      </w:r>
      <w:r>
        <w:rPr>
          <w:color w:val="6E6158"/>
          <w:spacing w:val="29"/>
        </w:rPr>
        <w:t> </w:t>
      </w:r>
      <w:r>
        <w:rPr>
          <w:color w:val="6E6158"/>
        </w:rPr>
        <w:t>design</w:t>
      </w:r>
      <w:r>
        <w:rPr>
          <w:color w:val="6E6158"/>
          <w:spacing w:val="29"/>
        </w:rPr>
        <w:t> </w:t>
      </w:r>
      <w:r>
        <w:rPr>
          <w:color w:val="6E6158"/>
        </w:rPr>
        <w:t>allegations,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related</w:t>
      </w:r>
      <w:r>
        <w:rPr>
          <w:color w:val="6E6158"/>
          <w:spacing w:val="29"/>
        </w:rPr>
        <w:t> </w:t>
      </w:r>
      <w:r>
        <w:rPr>
          <w:color w:val="6E6158"/>
        </w:rPr>
        <w:t>matters.</w:t>
      </w:r>
    </w:p>
    <w:p>
      <w:pPr>
        <w:pStyle w:val="BodyText"/>
        <w:spacing w:line="297" w:lineRule="auto" w:before="193"/>
        <w:ind w:left="99" w:right="154"/>
      </w:pPr>
      <w:r>
        <w:rPr>
          <w:color w:val="6E6158"/>
        </w:rPr>
        <w:t>Before joining Fennemore, Dylan was a partner at Schmoyer Reinhard LLP, a San Antonio-based law firm specializing in labor and employment, construction, and business litigation. Earlier in his</w:t>
      </w:r>
      <w:r>
        <w:rPr>
          <w:color w:val="6E6158"/>
          <w:spacing w:val="40"/>
        </w:rPr>
        <w:t> </w:t>
      </w:r>
      <w:r>
        <w:rPr>
          <w:color w:val="6E6158"/>
        </w:rPr>
        <w:t>career,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served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an</w:t>
      </w:r>
      <w:r>
        <w:rPr>
          <w:color w:val="6E6158"/>
          <w:spacing w:val="25"/>
        </w:rPr>
        <w:t> </w:t>
      </w:r>
      <w:r>
        <w:rPr>
          <w:color w:val="6E6158"/>
        </w:rPr>
        <w:t>associate</w:t>
      </w:r>
      <w:r>
        <w:rPr>
          <w:color w:val="6E6158"/>
          <w:spacing w:val="25"/>
        </w:rPr>
        <w:t> </w:t>
      </w:r>
      <w:r>
        <w:rPr>
          <w:color w:val="6E6158"/>
        </w:rPr>
        <w:t>at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Houston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firm</w:t>
      </w:r>
      <w:r>
        <w:rPr>
          <w:color w:val="6E6158"/>
          <w:spacing w:val="25"/>
        </w:rPr>
        <w:t> </w:t>
      </w:r>
      <w:r>
        <w:rPr>
          <w:color w:val="6E6158"/>
        </w:rPr>
        <w:t>representing</w:t>
      </w:r>
      <w:r>
        <w:rPr>
          <w:color w:val="6E6158"/>
          <w:spacing w:val="25"/>
        </w:rPr>
        <w:t> </w:t>
      </w:r>
      <w:r>
        <w:rPr>
          <w:color w:val="6E6158"/>
        </w:rPr>
        <w:t>public</w:t>
      </w:r>
      <w:r>
        <w:rPr>
          <w:color w:val="6E6158"/>
          <w:spacing w:val="25"/>
        </w:rPr>
        <w:t> </w:t>
      </w:r>
      <w:r>
        <w:rPr>
          <w:color w:val="6E6158"/>
        </w:rPr>
        <w:t>employers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employment,</w:t>
      </w:r>
      <w:r>
        <w:rPr>
          <w:color w:val="6E6158"/>
          <w:spacing w:val="15"/>
        </w:rPr>
        <w:t> </w:t>
      </w:r>
      <w:r>
        <w:rPr>
          <w:color w:val="6E6158"/>
        </w:rPr>
        <w:t>civil</w:t>
      </w:r>
      <w:r>
        <w:rPr>
          <w:color w:val="6E6158"/>
          <w:spacing w:val="15"/>
        </w:rPr>
        <w:t> </w:t>
      </w:r>
      <w:r>
        <w:rPr>
          <w:color w:val="6E6158"/>
        </w:rPr>
        <w:t>rights,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contracting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disputes.</w:t>
      </w:r>
    </w:p>
    <w:p>
      <w:pPr>
        <w:pStyle w:val="BodyText"/>
        <w:spacing w:before="23"/>
        <w:ind w:left="0"/>
      </w:pPr>
    </w:p>
    <w:p>
      <w:pPr>
        <w:pStyle w:val="BodyText"/>
        <w:spacing w:line="292" w:lineRule="auto"/>
        <w:ind w:left="99" w:right="332"/>
      </w:pPr>
      <w:r>
        <w:rPr>
          <w:color w:val="6E6158"/>
        </w:rPr>
        <w:t>Dylan earned his Bachelor of Arts in English from Rice University in 2009 and graduated magna</w:t>
      </w:r>
      <w:r>
        <w:rPr>
          <w:color w:val="6E6158"/>
          <w:spacing w:val="40"/>
        </w:rPr>
        <w:t> </w:t>
      </w:r>
      <w:r>
        <w:rPr>
          <w:color w:val="6E6158"/>
        </w:rPr>
        <w:t>cum laude from the University of North Carolina School of Law in 2013. During law school, he</w:t>
      </w:r>
      <w:r>
        <w:rPr>
          <w:color w:val="6E6158"/>
          <w:spacing w:val="40"/>
        </w:rPr>
        <w:t> </w:t>
      </w:r>
      <w:r>
        <w:rPr>
          <w:color w:val="6E6158"/>
        </w:rPr>
        <w:t>served as an editor for the </w:t>
      </w:r>
      <w:r>
        <w:rPr>
          <w:i/>
          <w:color w:val="6E6158"/>
          <w:sz w:val="20"/>
        </w:rPr>
        <w:t>North Carolina Law Review</w:t>
      </w:r>
      <w:r>
        <w:rPr>
          <w:color w:val="6E6158"/>
        </w:rPr>
        <w:t>, received the Gressman-Pollitt Award for exceptional oral advocacy, and completed over 100 hours of pro bono service. He also </w:t>
      </w:r>
      <w:r>
        <w:rPr>
          <w:color w:val="6E6158"/>
        </w:rPr>
        <w:t>clerked</w:t>
      </w:r>
      <w:r>
        <w:rPr>
          <w:color w:val="6E6158"/>
          <w:spacing w:val="40"/>
        </w:rPr>
        <w:t> </w:t>
      </w:r>
      <w:r>
        <w:rPr>
          <w:color w:val="6E6158"/>
        </w:rPr>
        <w:t>for the North Carolina Pattern Jury Instruction Committee, helping to draft model jury instructions</w:t>
      </w:r>
      <w:r>
        <w:rPr>
          <w:color w:val="6E6158"/>
          <w:spacing w:val="40"/>
        </w:rPr>
        <w:t> </w:t>
      </w:r>
      <w:r>
        <w:rPr>
          <w:color w:val="6E6158"/>
        </w:rPr>
        <w:t>for civil trials, and later served as a law clerk to the Honorable William L. Osteen, Jr. of the Middle</w:t>
      </w:r>
      <w:r>
        <w:rPr>
          <w:color w:val="6E6158"/>
          <w:spacing w:val="40"/>
        </w:rPr>
        <w:t> </w:t>
      </w:r>
      <w:r>
        <w:rPr>
          <w:color w:val="6E6158"/>
        </w:rPr>
        <w:t>District of North Carolina.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1060346</wp:posOffset>
                </wp:positionH>
                <wp:positionV relativeFrom="paragraph">
                  <wp:posOffset>251102</wp:posOffset>
                </wp:positionV>
                <wp:extent cx="20955" cy="2095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1858pt;width:1.65pt;height:1.65pt;mso-position-horizontal-relative:page;mso-position-vertical-relative:paragraph;z-index:-15728640;mso-wrap-distance-left:0;mso-wrap-distance-right:0" id="docshape11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338947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88753pt;width:1.65pt;height:1.65pt;mso-position-horizontal-relative:page;mso-position-vertical-relative:paragraph;z-index:15729664" id="docshape12" coordorigin="2166,534" coordsize="33,33" path="m2187,566l2178,566,2174,565,2168,558,2166,555,2166,546,2168,542,2174,535,2178,534,2187,534,2191,535,2197,542,2199,546,2199,550,2199,555,2197,558,2191,565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602479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7.439369pt;width:1.65pt;height:1.65pt;mso-position-horizontal-relative:page;mso-position-vertical-relative:paragraph;z-index:15730176" id="docshape13" coordorigin="1670,949" coordsize="33,33" path="m1691,981l1682,981,1678,980,1671,973,1670,970,1670,961,1671,957,1678,950,1682,949,1691,949,1694,950,1701,957,1702,961,1702,965,1702,970,1701,973,1694,980,1691,9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North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Carolina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12"/>
        <w:ind w:right="6570" w:firstLine="496"/>
      </w:pPr>
      <w:r>
        <w:rPr>
          <w:color w:val="6E6158"/>
        </w:rPr>
        <w:t>Order of the </w:t>
      </w:r>
      <w:r>
        <w:rPr>
          <w:color w:val="6E6158"/>
        </w:rPr>
        <w:t>Coif B.A., Rice University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right="65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0688" id="docshape14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31200" id="docshape15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674682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4634pt;width:1.65pt;height:1.65pt;mso-position-horizontal-relative:page;mso-position-vertical-relative:paragraph;z-index:15731712" id="docshape16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Business Litigation Construction Law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245594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8139pt;width:1.65pt;height:1.65pt;mso-position-horizontal-relative:page;mso-position-vertical-relative:paragraph;z-index:15732224" id="docshape17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pre-trial dismissal of FMLA interference and retaliation claims against a Fortune 50</w:t>
      </w:r>
      <w:r>
        <w:rPr>
          <w:color w:val="6E6158"/>
          <w:spacing w:val="40"/>
        </w:rPr>
        <w:t> </w:t>
      </w:r>
      <w:r>
        <w:rPr>
          <w:color w:val="6E6158"/>
        </w:rPr>
        <w:t>company and successfully defended the judgment on appeal.</w:t>
      </w:r>
    </w:p>
    <w:p>
      <w:pPr>
        <w:pStyle w:val="BodyText"/>
        <w:spacing w:line="292" w:lineRule="auto" w:before="131"/>
        <w:ind w:right="3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235698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928pt;width:1.65pt;height:1.65pt;mso-position-horizontal-relative:page;mso-position-vertical-relative:paragraph;z-index:15732736" id="docshape18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defended municipal utility against race and disability discrimination claims by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high-level director.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142951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6041pt;width:1.65pt;height:1.65pt;mso-position-horizontal-relative:page;mso-position-vertical-relative:paragraph;z-index:15733248" id="docshape1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</w:t>
      </w:r>
      <w:r>
        <w:rPr>
          <w:color w:val="6E6158"/>
          <w:spacing w:val="13"/>
        </w:rPr>
        <w:t> </w:t>
      </w:r>
      <w:r>
        <w:rPr>
          <w:color w:val="6E6158"/>
        </w:rPr>
        <w:t>favorable</w:t>
      </w:r>
      <w:r>
        <w:rPr>
          <w:color w:val="6E6158"/>
          <w:spacing w:val="14"/>
        </w:rPr>
        <w:t> </w:t>
      </w:r>
      <w:r>
        <w:rPr>
          <w:color w:val="6E6158"/>
        </w:rPr>
        <w:t>jury</w:t>
      </w:r>
      <w:r>
        <w:rPr>
          <w:color w:val="6E6158"/>
          <w:spacing w:val="14"/>
        </w:rPr>
        <w:t> </w:t>
      </w:r>
      <w:r>
        <w:rPr>
          <w:color w:val="6E6158"/>
        </w:rPr>
        <w:t>verdict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slip-and-fall</w:t>
      </w:r>
      <w:r>
        <w:rPr>
          <w:color w:val="6E6158"/>
          <w:spacing w:val="14"/>
        </w:rPr>
        <w:t> </w:t>
      </w:r>
      <w:r>
        <w:rPr>
          <w:color w:val="6E6158"/>
        </w:rPr>
        <w:t>case</w:t>
      </w:r>
      <w:r>
        <w:rPr>
          <w:color w:val="6E6158"/>
          <w:spacing w:val="14"/>
        </w:rPr>
        <w:t> </w:t>
      </w:r>
      <w:r>
        <w:rPr>
          <w:color w:val="6E6158"/>
        </w:rPr>
        <w:t>against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homebuilder.</w:t>
      </w:r>
    </w:p>
    <w:p>
      <w:pPr>
        <w:pStyle w:val="BodyText"/>
        <w:spacing w:line="302" w:lineRule="auto" w:before="174"/>
        <w:ind w:right="4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268298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5849pt;width:1.65pt;height:1.65pt;mso-position-horizontal-relative:page;mso-position-vertical-relative:paragraph;z-index:15733760" id="docshape20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several national homebuilders in warranty and contract disputes in </w:t>
      </w:r>
      <w:r>
        <w:rPr>
          <w:color w:val="6E6158"/>
        </w:rPr>
        <w:t>both litigation and arbitration proceedings.</w:t>
      </w:r>
    </w:p>
    <w:p>
      <w:pPr>
        <w:pStyle w:val="BodyText"/>
        <w:spacing w:line="292" w:lineRule="auto" w:before="113"/>
        <w:ind w:right="2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224257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8035pt;width:1.65pt;height:1.65pt;mso-position-horizontal-relative:page;mso-position-vertical-relative:paragraph;z-index:15734272" id="docshape21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local developer in lien foreclosure suit and helped avoid several other </w:t>
      </w:r>
      <w:r>
        <w:rPr>
          <w:color w:val="6E6158"/>
        </w:rPr>
        <w:t>potential</w:t>
      </w:r>
      <w:r>
        <w:rPr>
          <w:color w:val="6E6158"/>
          <w:spacing w:val="40"/>
        </w:rPr>
        <w:t> </w:t>
      </w:r>
      <w:r>
        <w:rPr>
          <w:color w:val="6E6158"/>
        </w:rPr>
        <w:t>lien-related suits through proactive resolution techniques.</w:t>
      </w:r>
    </w:p>
    <w:p>
      <w:pPr>
        <w:pStyle w:val="Heading1"/>
        <w:spacing w:before="28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158127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102pt;width:1.65pt;height:1.65pt;mso-position-horizontal-relative:page;mso-position-vertical-relative:paragraph;z-index:15734784" id="docshape22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Top Labor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 Employment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Attorney,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Antonio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line="292" w:lineRule="auto" w:before="180"/>
        <w:ind w:righ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266797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0769pt;width:1.65pt;height:1.65pt;mso-position-horizontal-relative:page;mso-position-vertical-relative:paragraph;z-index:15735296" id="docshape23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America: Ones to Watch®, Commercial Litigation and Labor and Employment</w:t>
      </w:r>
      <w:r>
        <w:rPr>
          <w:color w:val="6E6158"/>
          <w:spacing w:val="40"/>
        </w:rPr>
        <w:t> </w:t>
      </w:r>
      <w:r>
        <w:rPr>
          <w:color w:val="6E6158"/>
        </w:rPr>
        <w:t>Law – Management, 2021 – 2024</w:t>
      </w:r>
    </w:p>
    <w:p>
      <w:pPr>
        <w:pStyle w:val="BodyText"/>
        <w:spacing w:line="422" w:lineRule="auto" w:before="123"/>
        <w:ind w:right="15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142935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4788pt;width:1.65pt;height:1.65pt;mso-position-horizontal-relative:page;mso-position-vertical-relative:paragraph;z-index:15735808" id="docshape2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401301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8547pt;width:1.65pt;height:1.65pt;mso-position-horizontal-relative:page;mso-position-vertical-relative:paragraph;z-index:15736320" id="docshape25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659667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942291pt;width:1.65pt;height:1.65pt;mso-position-horizontal-relative:page;mso-position-vertical-relative:paragraph;z-index:15736832" id="docshape26" coordorigin="1670,1039" coordsize="33,33" path="m1691,1071l1682,1071,1678,1070,1671,1063,1670,1060,1670,1051,1671,1047,1678,1040,1682,1039,1691,1039,1694,1040,1701,1047,1702,1051,1702,1055,1702,1060,1701,1063,1694,1070,1691,10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 Antonio’s Best Labor And Employment Lawyers, Scene in S.A., 2018 – </w:t>
      </w:r>
      <w:r>
        <w:rPr>
          <w:color w:val="6E6158"/>
        </w:rPr>
        <w:t>2024 San Antonio’s Best Construction Litigation Lawyers, Scene in S.A., 2022 – 2024 Rising Star San Antonio Lawyer, Scene in S.A., 2022 – 2023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64046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42998pt;width:1.65pt;height:1.65pt;mso-position-horizontal-relative:page;mso-position-vertical-relative:paragraph;z-index:15737344" id="docshape27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11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Attorney,</w:t>
      </w:r>
      <w:r>
        <w:rPr>
          <w:color w:val="6E6158"/>
          <w:spacing w:val="12"/>
        </w:rPr>
        <w:t> </w: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Antonio</w:t>
      </w:r>
      <w:r>
        <w:rPr>
          <w:color w:val="6E6158"/>
          <w:spacing w:val="12"/>
        </w:rPr>
        <w:t> </w:t>
      </w:r>
      <w:r>
        <w:rPr>
          <w:color w:val="6E6158"/>
        </w:rPr>
        <w:t>Magazine,</w:t>
      </w:r>
      <w:r>
        <w:rPr>
          <w:color w:val="6E6158"/>
          <w:spacing w:val="12"/>
        </w:rPr>
        <w:t> </w:t>
      </w:r>
      <w:r>
        <w:rPr>
          <w:color w:val="6E6158"/>
        </w:rPr>
        <w:t>2020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250920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5753pt;width:1.65pt;height:1.65pt;mso-position-horizontal-relative:page;mso-position-vertical-relative:paragraph;z-index:15737856" id="docshape28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“FLSA Trends and Developments,” State Bar of Texas 35th Annual Labor &amp; Employment Law Institute (2025) (with contributions to paper)</w:t>
      </w:r>
    </w:p>
    <w:p>
      <w:pPr>
        <w:pStyle w:val="BodyText"/>
        <w:spacing w:line="292" w:lineRule="auto" w:before="113"/>
        <w:ind w:righ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224024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9744pt;width:1.65pt;height:1.65pt;mso-position-horizontal-relative:page;mso-position-vertical-relative:paragraph;z-index:15738368" id="docshape29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Author, “A Brave New World After Hamilton v. Dallas County,” 110 Advocate 41, Spring </w:t>
      </w:r>
      <w:r>
        <w:rPr>
          <w:color w:val="6E6158"/>
          <w:spacing w:val="-4"/>
        </w:rPr>
        <w:t>2025</w:t>
      </w:r>
    </w:p>
    <w:p>
      <w:pPr>
        <w:pStyle w:val="BodyText"/>
        <w:spacing w:line="297" w:lineRule="auto" w:before="123"/>
        <w:ind w:right="4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323563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7423pt;width:1.65pt;height:1.65pt;mso-position-horizontal-relative:page;mso-position-vertical-relative:paragraph;z-index:15738880" id="docshape30" coordorigin="1670,510" coordsize="33,33" path="m1691,542l1682,542,1678,541,1671,534,1670,530,1670,521,1671,517,1678,511,1682,510,1691,510,1694,511,1701,517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30(b)(6): “The Procedural and Ethical Idiosyncrasies of Federal Corporate Representative Depositions,” State Bar of Texas 30th Annual Labor and Employment </w:t>
      </w:r>
      <w:r>
        <w:rPr>
          <w:color w:val="6E6158"/>
        </w:rPr>
        <w:t>Law Institute (2019) (with paper)</w:t>
      </w:r>
    </w:p>
    <w:p>
      <w:pPr>
        <w:pStyle w:val="BodyText"/>
        <w:spacing w:line="302" w:lineRule="auto" w:before="118"/>
        <w:ind w:right="4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232574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12958pt;width:1.65pt;height:1.65pt;mso-position-horizontal-relative:page;mso-position-vertical-relative:paragraph;z-index:15739392" id="docshape31" coordorigin="1670,366" coordsize="33,33" path="m1691,399l1682,399,1678,397,1671,391,1670,387,1670,378,1671,374,1678,368,1682,366,1691,366,1694,368,1701,374,1702,378,1702,383,1702,387,1701,391,1694,397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“Drugs in the Workplace,” University of Texas 26th Annual Labor and </w:t>
      </w:r>
      <w:r>
        <w:rPr>
          <w:color w:val="6E6158"/>
        </w:rPr>
        <w:t>Employment Law Conference (2019) (with paper)</w:t>
      </w:r>
    </w:p>
    <w:p>
      <w:pPr>
        <w:pStyle w:val="BodyText"/>
        <w:spacing w:line="292" w:lineRule="auto" w:before="113"/>
        <w:ind w:right="3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317104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68843pt;width:1.65pt;height:1.65pt;mso-position-horizontal-relative:page;mso-position-vertical-relative:paragraph;z-index:15739904" id="docshape32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“Drugs in the Workplace: Getting Into the Weeds of State and Federal Drug Testing Laws,” State Bar of Texas 29th Annual Labor and Employment Law Institute (2018) (with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paper)</w:t>
      </w:r>
    </w:p>
    <w:p>
      <w:pPr>
        <w:pStyle w:val="BodyText"/>
        <w:spacing w:line="292" w:lineRule="auto" w:before="132"/>
        <w:ind w:right="1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236173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369pt;width:1.65pt;height:1.65pt;mso-position-horizontal-relative:page;mso-position-vertical-relative:paragraph;z-index:15740416" id="docshape33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“More Parties, More Problems: Exploring the Ups and Downs of Texas’s Responsible Third Party Statute,” 3 Construction Law Journal 27, Winter 2018</w:t>
      </w:r>
    </w:p>
    <w:p>
      <w:pPr>
        <w:pStyle w:val="BodyText"/>
        <w:spacing w:after="0" w:line="292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0928" id="docshape34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“Mum’s the Word: Social Workers, Counselors, and Student Record Confidentiality,” Lecture on behalf of Harris County Community Youth Services, 2016</w:t>
      </w:r>
    </w:p>
    <w:p>
      <w:pPr>
        <w:pStyle w:val="Heading1"/>
        <w:spacing w:before="17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152613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6809pt;width:1.65pt;height:1.65pt;mso-position-horizontal-relative:page;mso-position-vertical-relative:paragraph;z-index:15741440" id="docshape35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San</w:t>
      </w:r>
      <w:r>
        <w:rPr>
          <w:color w:val="6E6158"/>
          <w:spacing w:val="7"/>
        </w:rPr>
        <w:t> </w:t>
      </w:r>
      <w:r>
        <w:rPr>
          <w:color w:val="6E6158"/>
        </w:rPr>
        <w:t>Antonio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3"/>
        <w:ind w:right="25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174875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704pt;width:1.65pt;height:1.65pt;mso-position-horizontal-relative:page;mso-position-vertical-relative:paragraph;z-index:15741952" id="docshape3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433240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3445pt;width:1.65pt;height:1.65pt;mso-position-horizontal-relative:page;mso-position-vertical-relative:paragraph;z-index:15742464" id="docshape37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Treasurer, San Antonio Bar Association Construction Law </w:t>
      </w:r>
      <w:r>
        <w:rPr>
          <w:color w:val="6E6158"/>
        </w:rPr>
        <w:t>Section Officer at Large, San Antonio Bar Association Litigation Section</w:t>
      </w:r>
    </w:p>
    <w:p>
      <w:pPr>
        <w:pStyle w:val="Heading1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157938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6101pt;width:1.65pt;height:1.65pt;mso-position-horizontal-relative:page;mso-position-vertical-relative:paragraph;z-index:15742976" id="docshape38" coordorigin="1670,249" coordsize="33,33" path="m1691,281l1682,281,1678,280,1671,273,1670,269,1670,261,1671,257,1678,250,1682,249,1691,249,1694,250,1701,257,1702,261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169953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2158pt;width:1.65pt;height:1.65pt;mso-position-horizontal-relative:page;mso-position-vertical-relative:paragraph;z-index:15743488" id="docshape39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175070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5064pt;width:1.65pt;height:1.65pt;mso-position-horizontal-relative:page;mso-position-vertical-relative:paragraph;z-index:15744000" id="docshape40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175020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109pt;width:1.65pt;height:1.65pt;mso-position-horizontal-relative:page;mso-position-vertical-relative:paragraph;z-index:15744512" id="docshape41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174969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152pt;width:1.65pt;height:1.65pt;mso-position-horizontal-relative:page;mso-position-vertical-relative:paragraph;z-index:15745024" id="docshape42" coordorigin="1670,276" coordsize="33,33" path="m1691,308l1682,308,1678,307,1671,300,1670,296,1670,287,1671,283,1678,277,1682,276,1691,276,1694,277,1701,283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Courts,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169839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3197pt;width:1.65pt;height:1.65pt;mso-position-horizontal-relative:page;mso-position-vertical-relative:paragraph;z-index:15745536" id="docshape43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Courts,</w:t>
      </w:r>
      <w:r>
        <w:rPr>
          <w:color w:val="6E6158"/>
          <w:spacing w:val="11"/>
        </w:rPr>
        <w:t> </w:t>
      </w:r>
      <w:r>
        <w:rPr>
          <w:color w:val="6E6158"/>
        </w:rPr>
        <w:t>Middle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North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Carolina</w:t>
      </w:r>
    </w:p>
    <w:p>
      <w:pPr>
        <w:pStyle w:val="BodyText"/>
        <w:spacing w:before="1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185290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89837pt;width:1.65pt;height:1.65pt;mso-position-horizontal-relative:page;mso-position-vertical-relative:paragraph;z-index:15746048" id="docshape44" coordorigin="1670,292" coordsize="33,33" path="m1691,324l1682,324,1678,323,1671,316,1670,313,1670,304,1671,300,1678,293,1682,292,1691,292,1694,293,1701,300,1702,304,1702,308,1702,313,1701,316,1694,323,1691,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9"/>
        </w:rPr>
        <w:t> </w:t>
      </w:r>
      <w:r>
        <w:rPr>
          <w:color w:val="6E6158"/>
        </w:rPr>
        <w:t>4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17"/>
          <w:position w:val="7"/>
          <w:sz w:val="16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185700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622111pt;width:1.65pt;height:1.65pt;mso-position-horizontal-relative:page;mso-position-vertical-relative:paragraph;z-index:15746560" id="docshape45" coordorigin="1670,292" coordsize="33,33" path="m1691,325l1682,325,1678,323,1671,317,1670,313,1670,304,1671,300,1678,294,1682,292,1691,292,1694,294,1701,300,1702,304,1702,309,1702,313,1701,317,1694,323,1691,3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9"/>
        </w:rPr>
        <w:t> </w:t>
      </w:r>
      <w:r>
        <w:rPr>
          <w:color w:val="6E6158"/>
        </w:rPr>
        <w:t>5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17"/>
          <w:position w:val="7"/>
          <w:sz w:val="16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185477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60456pt;width:1.65pt;height:1.65pt;mso-position-horizontal-relative:page;mso-position-vertical-relative:paragraph;z-index:15747072" id="docshape46" coordorigin="1670,292" coordsize="33,33" path="m1691,325l1682,325,1678,323,1671,317,1670,313,1670,304,1671,300,1678,294,1682,292,1691,292,1694,294,1701,300,1702,304,1702,308,1702,313,1701,317,1694,323,1691,3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11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18"/>
          <w:position w:val="7"/>
          <w:sz w:val="16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dfarm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Dylan A. Farmer - Fennemore</dc:title>
  <dcterms:created xsi:type="dcterms:W3CDTF">2026-01-22T11:10:50Z</dcterms:created>
  <dcterms:modified xsi:type="dcterms:W3CDTF">2026-01-22T11:10:50Z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