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25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4004945"/>
                <wp:effectExtent l="0" t="0" r="0" b="507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004945"/>
                          <a:chExt cx="6071870" cy="400494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6071591" cy="2469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268700"/>
                            <a:ext cx="6071870" cy="2470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2470150">
                                <a:moveTo>
                                  <a:pt x="6071591" y="2469975"/>
                                </a:moveTo>
                                <a:lnTo>
                                  <a:pt x="0" y="2469975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2469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>
                              <a:alpha val="819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2738675"/>
                            <a:ext cx="6071870" cy="1266190"/>
                          </a:xfrm>
                          <a:prstGeom prst="rect">
                            <a:avLst/>
                          </a:prstGeom>
                          <a:solidFill>
                            <a:srgbClr val="002E6D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100"/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348" w:lineRule="auto" w:before="1"/>
                                <w:ind w:left="950" w:right="943" w:firstLine="0"/>
                                <w:jc w:val="center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Our eminent domain attorneys have negotiated, settled, and tried numerous cases involving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commercial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residential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property,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regional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shopping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centers,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agricultural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land,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underground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pipelines, and other types of property.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504620" y="1585517"/>
                            <a:ext cx="5075555" cy="523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2" w:lineRule="auto" w:before="7"/>
                                <w:ind w:left="0" w:right="18" w:firstLine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Fennemore’s seasoned eminent domain team provides advice and litigation</w:t>
                              </w:r>
                              <w:r>
                                <w:rPr>
                                  <w:color w:val="FFFFFF"/>
                                  <w:spacing w:val="-15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support</w:t>
                              </w:r>
                              <w:r>
                                <w:rPr>
                                  <w:color w:val="FFFFFF"/>
                                  <w:spacing w:val="-15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15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both</w:t>
                              </w:r>
                              <w:r>
                                <w:rPr>
                                  <w:color w:val="FFFFFF"/>
                                  <w:spacing w:val="-15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public</w:t>
                              </w:r>
                              <w:r>
                                <w:rPr>
                                  <w:color w:val="FFFFFF"/>
                                  <w:spacing w:val="-15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entities</w:t>
                              </w:r>
                              <w:r>
                                <w:rPr>
                                  <w:color w:val="FFFFFF"/>
                                  <w:spacing w:val="-15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15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private</w:t>
                              </w:r>
                              <w:r>
                                <w:rPr>
                                  <w:color w:val="FFFFFF"/>
                                  <w:spacing w:val="-15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land</w:t>
                              </w:r>
                              <w:r>
                                <w:rPr>
                                  <w:color w:val="FFFFFF"/>
                                  <w:spacing w:val="-15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owners</w:t>
                              </w:r>
                              <w:r>
                                <w:rPr>
                                  <w:color w:val="FFFFFF"/>
                                  <w:spacing w:val="-15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through all stages of project planning and acquisition.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974397" y="880542"/>
                            <a:ext cx="2135505" cy="326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12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4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42"/>
                                </w:rPr>
                                <w:t>Eminent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2"/>
                                </w:rPr>
                                <w:t>Domain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315.350pt;mso-position-horizontal-relative:char;mso-position-vertical-relative:line" id="docshapegroup1" coordorigin="0,0" coordsize="9562,6307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9562;height:3890" type="#_x0000_t75" id="docshape3" stroked="false">
                  <v:imagedata r:id="rId7" o:title=""/>
                </v:shape>
                <v:rect style="position:absolute;left:0;top:423;width:9562;height:3890" id="docshape4" filled="true" fillcolor="#262424" stroked="false">
                  <v:fill opacity="53713f"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4312;width:9562;height:1994" type="#_x0000_t202" id="docshape5" filled="true" fillcolor="#002e6d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100"/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348" w:lineRule="auto" w:before="1"/>
                          <w:ind w:left="950" w:right="943" w:firstLine="0"/>
                          <w:jc w:val="center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Our eminent domain attorneys have negotiated, settled, and tried numerous cases involving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commercial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residential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property,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regional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shopping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centers,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agricultural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land,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underground </w:t>
                        </w:r>
                        <w:r>
                          <w:rPr>
                            <w:color w:val="FFFFFF"/>
                            <w:sz w:val="16"/>
                          </w:rPr>
                          <w:t>pipelines, and other types of property.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794;top:2496;width:7993;height:825" type="#_x0000_t202" id="docshape6" filled="false" stroked="false">
                  <v:textbox inset="0,0,0,0">
                    <w:txbxContent>
                      <w:p>
                        <w:pPr>
                          <w:spacing w:line="242" w:lineRule="auto" w:before="7"/>
                          <w:ind w:left="0" w:right="18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Fennemore’s seasoned eminent domain team provides advice and litigation</w:t>
                        </w:r>
                        <w:r>
                          <w:rPr>
                            <w:color w:val="FFFFFF"/>
                            <w:spacing w:val="-15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support</w:t>
                        </w:r>
                        <w:r>
                          <w:rPr>
                            <w:color w:val="FFFFFF"/>
                            <w:spacing w:val="-15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to</w:t>
                        </w:r>
                        <w:r>
                          <w:rPr>
                            <w:color w:val="FFFFFF"/>
                            <w:spacing w:val="-15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both</w:t>
                        </w:r>
                        <w:r>
                          <w:rPr>
                            <w:color w:val="FFFFFF"/>
                            <w:spacing w:val="-15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public</w:t>
                        </w:r>
                        <w:r>
                          <w:rPr>
                            <w:color w:val="FFFFFF"/>
                            <w:spacing w:val="-15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entities</w:t>
                        </w:r>
                        <w:r>
                          <w:rPr>
                            <w:color w:val="FFFFFF"/>
                            <w:spacing w:val="-15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and</w:t>
                        </w:r>
                        <w:r>
                          <w:rPr>
                            <w:color w:val="FFFFFF"/>
                            <w:spacing w:val="-15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private</w:t>
                        </w:r>
                        <w:r>
                          <w:rPr>
                            <w:color w:val="FFFFFF"/>
                            <w:spacing w:val="-15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land</w:t>
                        </w:r>
                        <w:r>
                          <w:rPr>
                            <w:color w:val="FFFFFF"/>
                            <w:spacing w:val="-15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owners</w:t>
                        </w:r>
                        <w:r>
                          <w:rPr>
                            <w:color w:val="FFFFFF"/>
                            <w:spacing w:val="-15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through all stages of project planning and acquisition.</w:t>
                        </w:r>
                      </w:p>
                    </w:txbxContent>
                  </v:textbox>
                  <w10:wrap type="none"/>
                </v:shape>
                <v:shape style="position:absolute;left:3109;top:1386;width:3363;height:514" type="#_x0000_t202" id="docshape7" filled="false" stroked="false">
                  <v:textbox inset="0,0,0,0">
                    <w:txbxContent>
                      <w:p>
                        <w:pPr>
                          <w:spacing w:line="512" w:lineRule="exact" w:before="0"/>
                          <w:ind w:left="0" w:right="0" w:firstLine="0"/>
                          <w:jc w:val="left"/>
                          <w:rPr>
                            <w:b/>
                            <w:sz w:val="42"/>
                          </w:rPr>
                        </w:pPr>
                        <w:r>
                          <w:rPr>
                            <w:b/>
                            <w:color w:val="FFFFFF"/>
                            <w:sz w:val="42"/>
                          </w:rPr>
                          <w:t>Eminent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42"/>
                          </w:rPr>
                          <w:t>Domain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38"/>
        <w:ind w:left="0"/>
        <w:rPr>
          <w:rFonts w:ascii="Times New Roman"/>
          <w:sz w:val="24"/>
        </w:rPr>
      </w:pPr>
    </w:p>
    <w:p>
      <w:pPr>
        <w:pStyle w:val="Heading1"/>
      </w:pPr>
      <w:r>
        <w:rPr>
          <w:color w:val="FF8100"/>
          <w:spacing w:val="-2"/>
        </w:rPr>
        <w:t>OVERVIEW</w:t>
      </w:r>
    </w:p>
    <w:p>
      <w:pPr>
        <w:pStyle w:val="BodyText"/>
        <w:spacing w:line="292" w:lineRule="auto" w:before="147"/>
        <w:ind w:left="459" w:right="645"/>
      </w:pPr>
      <w:r>
        <w:rPr>
          <w:color w:val="6E6158"/>
        </w:rPr>
        <w:t>The Constitutional power of eminent domain imposes unique and individual challenges on </w:t>
      </w:r>
      <w:r>
        <w:rPr>
          <w:color w:val="6E6158"/>
        </w:rPr>
        <w:t>each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party.</w:t>
      </w:r>
    </w:p>
    <w:p>
      <w:pPr>
        <w:pStyle w:val="BodyText"/>
        <w:spacing w:line="295" w:lineRule="auto" w:before="204"/>
        <w:ind w:left="459" w:right="645"/>
      </w:pPr>
      <w:r>
        <w:rPr>
          <w:color w:val="6E6158"/>
        </w:rPr>
        <w:t>Cities, counties, transportation agencies, regional park and special districts, and others public</w:t>
      </w:r>
      <w:r>
        <w:rPr>
          <w:color w:val="6E6158"/>
          <w:spacing w:val="40"/>
        </w:rPr>
        <w:t> </w:t>
      </w:r>
      <w:r>
        <w:rPr>
          <w:color w:val="6E6158"/>
        </w:rPr>
        <w:t>entities empowered with eminent domain and seeking to condemn a property or a business for</w:t>
      </w:r>
      <w:r>
        <w:rPr>
          <w:color w:val="6E6158"/>
          <w:spacing w:val="40"/>
        </w:rPr>
        <w:t> </w:t>
      </w:r>
      <w:r>
        <w:rPr>
          <w:color w:val="6E6158"/>
        </w:rPr>
        <w:t>roads, housing developments, or other public projects must navigate the complex issues that</w:t>
      </w:r>
      <w:r>
        <w:rPr>
          <w:color w:val="6E6158"/>
          <w:spacing w:val="40"/>
        </w:rPr>
        <w:t> </w:t>
      </w:r>
      <w:r>
        <w:rPr>
          <w:color w:val="6E6158"/>
        </w:rPr>
        <w:t>begin with initial project planning. Public entities must be well-versed or advised on issues of</w:t>
      </w:r>
      <w:r>
        <w:rPr>
          <w:color w:val="6E6158"/>
          <w:spacing w:val="40"/>
        </w:rPr>
        <w:t> </w:t>
      </w:r>
      <w:r>
        <w:rPr>
          <w:color w:val="6E6158"/>
        </w:rPr>
        <w:t>environmental review, project funding, relocation assistance, and public use and necessity</w:t>
      </w:r>
      <w:r>
        <w:rPr>
          <w:color w:val="6E6158"/>
          <w:spacing w:val="40"/>
        </w:rPr>
        <w:t> </w:t>
      </w:r>
      <w:r>
        <w:rPr>
          <w:color w:val="6E6158"/>
        </w:rPr>
        <w:t>standards,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must</w:t>
      </w:r>
      <w:r>
        <w:rPr>
          <w:color w:val="6E6158"/>
          <w:spacing w:val="27"/>
        </w:rPr>
        <w:t> </w:t>
      </w:r>
      <w:r>
        <w:rPr>
          <w:color w:val="6E6158"/>
        </w:rPr>
        <w:t>ensure</w:t>
      </w:r>
      <w:r>
        <w:rPr>
          <w:color w:val="6E6158"/>
          <w:spacing w:val="27"/>
        </w:rPr>
        <w:t> </w:t>
      </w:r>
      <w:r>
        <w:rPr>
          <w:color w:val="6E6158"/>
        </w:rPr>
        <w:t>that</w:t>
      </w:r>
      <w:r>
        <w:rPr>
          <w:color w:val="6E6158"/>
          <w:spacing w:val="27"/>
        </w:rPr>
        <w:t> </w:t>
      </w:r>
      <w:r>
        <w:rPr>
          <w:color w:val="6E6158"/>
        </w:rPr>
        <w:t>an</w:t>
      </w:r>
      <w:r>
        <w:rPr>
          <w:color w:val="6E6158"/>
          <w:spacing w:val="27"/>
        </w:rPr>
        <w:t> </w:t>
      </w:r>
      <w:r>
        <w:rPr>
          <w:color w:val="6E6158"/>
        </w:rPr>
        <w:t>owner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property</w:t>
      </w:r>
      <w:r>
        <w:rPr>
          <w:color w:val="6E6158"/>
          <w:spacing w:val="27"/>
        </w:rPr>
        <w:t> </w:t>
      </w:r>
      <w:r>
        <w:rPr>
          <w:color w:val="6E6158"/>
        </w:rPr>
        <w:t>acquired</w:t>
      </w:r>
      <w:r>
        <w:rPr>
          <w:color w:val="6E6158"/>
          <w:spacing w:val="27"/>
        </w:rPr>
        <w:t> </w:t>
      </w:r>
      <w:r>
        <w:rPr>
          <w:color w:val="6E6158"/>
        </w:rPr>
        <w:t>by</w:t>
      </w:r>
      <w:r>
        <w:rPr>
          <w:color w:val="6E6158"/>
          <w:spacing w:val="27"/>
        </w:rPr>
        <w:t> </w:t>
      </w:r>
      <w:r>
        <w:rPr>
          <w:color w:val="6E6158"/>
        </w:rPr>
        <w:t>eminent</w:t>
      </w:r>
      <w:r>
        <w:rPr>
          <w:color w:val="6E6158"/>
          <w:spacing w:val="27"/>
        </w:rPr>
        <w:t> </w:t>
      </w:r>
      <w:r>
        <w:rPr>
          <w:color w:val="6E6158"/>
        </w:rPr>
        <w:t>domain</w:t>
      </w:r>
      <w:r>
        <w:rPr>
          <w:color w:val="6E6158"/>
          <w:spacing w:val="27"/>
        </w:rPr>
        <w:t> </w:t>
      </w:r>
      <w:r>
        <w:rPr>
          <w:color w:val="6E6158"/>
        </w:rPr>
        <w:t>is</w:t>
      </w:r>
      <w:r>
        <w:rPr>
          <w:color w:val="6E6158"/>
          <w:spacing w:val="27"/>
        </w:rPr>
        <w:t> </w:t>
      </w:r>
      <w:r>
        <w:rPr>
          <w:color w:val="6E6158"/>
        </w:rPr>
        <w:t>justly</w:t>
      </w:r>
    </w:p>
    <w:p>
      <w:pPr>
        <w:pStyle w:val="BodyText"/>
        <w:spacing w:line="231" w:lineRule="exact"/>
        <w:ind w:left="459"/>
      </w:pPr>
      <w:r>
        <w:rPr>
          <w:color w:val="6E6158"/>
        </w:rPr>
        <w:t>compensated.</w:t>
      </w:r>
      <w:r>
        <w:rPr>
          <w:color w:val="6E6158"/>
          <w:spacing w:val="14"/>
        </w:rPr>
        <w:t> </w:t>
      </w:r>
      <w:r>
        <w:rPr>
          <w:color w:val="6E6158"/>
        </w:rPr>
        <w:t>Property</w:t>
      </w:r>
      <w:r>
        <w:rPr>
          <w:color w:val="6E6158"/>
          <w:spacing w:val="15"/>
        </w:rPr>
        <w:t> </w:t>
      </w:r>
      <w:r>
        <w:rPr>
          <w:color w:val="6E6158"/>
        </w:rPr>
        <w:t>or</w:t>
      </w:r>
      <w:r>
        <w:rPr>
          <w:color w:val="6E6158"/>
          <w:spacing w:val="15"/>
        </w:rPr>
        <w:t> </w:t>
      </w: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</w:rPr>
        <w:t>owners</w:t>
      </w:r>
      <w:r>
        <w:rPr>
          <w:color w:val="6E6158"/>
          <w:spacing w:val="15"/>
        </w:rPr>
        <w:t> </w:t>
      </w:r>
      <w:r>
        <w:rPr>
          <w:color w:val="6E6158"/>
        </w:rPr>
        <w:t>faced</w:t>
      </w:r>
      <w:r>
        <w:rPr>
          <w:color w:val="6E6158"/>
          <w:spacing w:val="15"/>
        </w:rPr>
        <w:t> </w:t>
      </w:r>
      <w:r>
        <w:rPr>
          <w:color w:val="6E6158"/>
        </w:rPr>
        <w:t>with</w:t>
      </w:r>
      <w:r>
        <w:rPr>
          <w:color w:val="6E6158"/>
          <w:spacing w:val="15"/>
        </w:rPr>
        <w:t> </w:t>
      </w:r>
      <w:r>
        <w:rPr>
          <w:color w:val="6E6158"/>
        </w:rPr>
        <w:t>potential</w:t>
      </w:r>
      <w:r>
        <w:rPr>
          <w:color w:val="6E6158"/>
          <w:spacing w:val="15"/>
        </w:rPr>
        <w:t> </w:t>
      </w:r>
      <w:r>
        <w:rPr>
          <w:color w:val="6E6158"/>
        </w:rPr>
        <w:t>condemnation</w:t>
      </w:r>
      <w:r>
        <w:rPr>
          <w:color w:val="6E6158"/>
          <w:spacing w:val="15"/>
        </w:rPr>
        <w:t> </w:t>
      </w:r>
      <w:r>
        <w:rPr>
          <w:color w:val="6E6158"/>
        </w:rPr>
        <w:t>have</w:t>
      </w:r>
      <w:r>
        <w:rPr>
          <w:color w:val="6E6158"/>
          <w:spacing w:val="15"/>
        </w:rPr>
        <w:t> </w:t>
      </w:r>
      <w:r>
        <w:rPr>
          <w:color w:val="6E6158"/>
        </w:rPr>
        <w:t>their</w:t>
      </w:r>
      <w:r>
        <w:rPr>
          <w:color w:val="6E6158"/>
          <w:spacing w:val="15"/>
        </w:rPr>
        <w:t> </w:t>
      </w:r>
      <w:r>
        <w:rPr>
          <w:color w:val="6E6158"/>
          <w:spacing w:val="-5"/>
        </w:rPr>
        <w:t>own</w:t>
      </w:r>
    </w:p>
    <w:p>
      <w:pPr>
        <w:pStyle w:val="BodyText"/>
        <w:spacing w:line="292" w:lineRule="auto" w:before="60"/>
        <w:ind w:left="459" w:right="560"/>
      </w:pPr>
      <w:r>
        <w:rPr>
          <w:color w:val="6E6158"/>
        </w:rPr>
        <w:t>set of issues, including possible disputes with the agency’s right-to-take the property, the need </w:t>
      </w:r>
      <w:r>
        <w:rPr>
          <w:color w:val="6E6158"/>
        </w:rPr>
        <w:t>to</w:t>
      </w:r>
      <w:r>
        <w:rPr>
          <w:color w:val="6E6158"/>
          <w:spacing w:val="40"/>
        </w:rPr>
        <w:t> </w:t>
      </w:r>
      <w:r>
        <w:rPr>
          <w:color w:val="6E6158"/>
        </w:rPr>
        <w:t>relocate</w:t>
      </w:r>
      <w:r>
        <w:rPr>
          <w:color w:val="6E6158"/>
          <w:spacing w:val="30"/>
        </w:rPr>
        <w:t> </w:t>
      </w:r>
      <w:r>
        <w:rPr>
          <w:color w:val="6E6158"/>
        </w:rPr>
        <w:t>their</w:t>
      </w:r>
      <w:r>
        <w:rPr>
          <w:color w:val="6E6158"/>
          <w:spacing w:val="30"/>
        </w:rPr>
        <w:t> </w:t>
      </w:r>
      <w:r>
        <w:rPr>
          <w:color w:val="6E6158"/>
        </w:rPr>
        <w:t>home</w:t>
      </w:r>
      <w:r>
        <w:rPr>
          <w:color w:val="6E6158"/>
          <w:spacing w:val="30"/>
        </w:rPr>
        <w:t> </w:t>
      </w:r>
      <w:r>
        <w:rPr>
          <w:color w:val="6E6158"/>
        </w:rPr>
        <w:t>or</w:t>
      </w:r>
      <w:r>
        <w:rPr>
          <w:color w:val="6E6158"/>
          <w:spacing w:val="30"/>
        </w:rPr>
        <w:t> </w:t>
      </w:r>
      <w:r>
        <w:rPr>
          <w:color w:val="6E6158"/>
        </w:rPr>
        <w:t>business,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concerns</w:t>
      </w:r>
      <w:r>
        <w:rPr>
          <w:color w:val="6E6158"/>
          <w:spacing w:val="30"/>
        </w:rPr>
        <w:t> </w:t>
      </w:r>
      <w:r>
        <w:rPr>
          <w:color w:val="6E6158"/>
        </w:rPr>
        <w:t>over</w:t>
      </w:r>
      <w:r>
        <w:rPr>
          <w:color w:val="6E6158"/>
          <w:spacing w:val="30"/>
        </w:rPr>
        <w:t> </w:t>
      </w:r>
      <w:r>
        <w:rPr>
          <w:color w:val="6E6158"/>
        </w:rPr>
        <w:t>compensation,</w:t>
      </w:r>
      <w:r>
        <w:rPr>
          <w:color w:val="6E6158"/>
          <w:spacing w:val="30"/>
        </w:rPr>
        <w:t> </w:t>
      </w:r>
      <w:r>
        <w:rPr>
          <w:color w:val="6E6158"/>
        </w:rPr>
        <w:t>to</w:t>
      </w:r>
      <w:r>
        <w:rPr>
          <w:color w:val="6E6158"/>
          <w:spacing w:val="30"/>
        </w:rPr>
        <w:t> </w:t>
      </w:r>
      <w:r>
        <w:rPr>
          <w:color w:val="6E6158"/>
        </w:rPr>
        <w:t>name</w:t>
      </w:r>
      <w:r>
        <w:rPr>
          <w:color w:val="6E6158"/>
          <w:spacing w:val="30"/>
        </w:rPr>
        <w:t> </w:t>
      </w:r>
      <w:r>
        <w:rPr>
          <w:color w:val="6E6158"/>
        </w:rPr>
        <w:t>a</w:t>
      </w:r>
      <w:r>
        <w:rPr>
          <w:color w:val="6E6158"/>
          <w:spacing w:val="30"/>
        </w:rPr>
        <w:t> </w:t>
      </w:r>
      <w:r>
        <w:rPr>
          <w:color w:val="6E6158"/>
        </w:rPr>
        <w:t>few.</w:t>
      </w:r>
    </w:p>
    <w:p>
      <w:pPr>
        <w:pStyle w:val="BodyText"/>
        <w:spacing w:before="197"/>
        <w:ind w:left="459"/>
      </w:pPr>
      <w:r>
        <w:rPr>
          <w:color w:val="6E6158"/>
        </w:rPr>
        <w:t>We</w:t>
      </w:r>
      <w:r>
        <w:rPr>
          <w:color w:val="6E6158"/>
          <w:spacing w:val="9"/>
        </w:rPr>
        <w:t> </w:t>
      </w:r>
      <w:r>
        <w:rPr>
          <w:color w:val="6E6158"/>
        </w:rPr>
        <w:t>have</w:t>
      </w:r>
      <w:r>
        <w:rPr>
          <w:color w:val="6E6158"/>
          <w:spacing w:val="10"/>
        </w:rPr>
        <w:t> </w:t>
      </w:r>
      <w:r>
        <w:rPr>
          <w:color w:val="6E6158"/>
        </w:rPr>
        <w:t>experience</w:t>
      </w:r>
      <w:r>
        <w:rPr>
          <w:color w:val="6E6158"/>
          <w:spacing w:val="10"/>
        </w:rPr>
        <w:t> </w:t>
      </w:r>
      <w:r>
        <w:rPr>
          <w:color w:val="6E6158"/>
          <w:spacing w:val="-5"/>
        </w:rPr>
        <w:t>in:</w:t>
      </w:r>
    </w:p>
    <w:p>
      <w:pPr>
        <w:pStyle w:val="BodyText"/>
        <w:spacing w:before="14"/>
        <w:ind w:left="0"/>
      </w:pPr>
    </w:p>
    <w:p>
      <w:pPr>
        <w:pStyle w:val="BodyText"/>
        <w:spacing w:line="427" w:lineRule="auto"/>
        <w:ind w:right="670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64658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91236pt;width:1.65pt;height:1.65pt;mso-position-horizontal-relative:page;mso-position-vertical-relative:paragraph;z-index:15729152" id="docshape8" coordorigin="1670,102" coordsize="33,33" path="m1691,134l1682,134,1678,133,1671,126,1670,123,1670,114,1671,110,1678,103,1682,102,1691,102,1694,103,1701,110,1702,114,1702,118,1702,123,1701,126,1694,133,1691,13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323024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34978pt;width:1.65pt;height:1.65pt;mso-position-horizontal-relative:page;mso-position-vertical-relative:paragraph;z-index:15729664" id="docshape9" coordorigin="1670,509" coordsize="33,33" path="m1691,541l1682,541,1678,540,1671,533,1670,529,1670,520,1671,517,1678,510,1682,509,1691,509,1694,510,1701,517,1702,520,1702,525,1702,529,1701,533,1694,540,1691,54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Real Estate Valuation Business Goodwill </w:t>
      </w:r>
      <w:r>
        <w:rPr>
          <w:color w:val="6E6158"/>
        </w:rPr>
        <w:t>Valuation</w:t>
      </w:r>
    </w:p>
    <w:p>
      <w:pPr>
        <w:pStyle w:val="BodyText"/>
        <w:spacing w:line="420" w:lineRule="auto"/>
        <w:ind w:right="53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59941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719764pt;width:1.65pt;height:1.65pt;mso-position-horizontal-relative:page;mso-position-vertical-relative:paragraph;z-index:15730176" id="docshape10" coordorigin="1670,94" coordsize="33,33" path="m1691,127l1682,127,1678,125,1671,119,1670,115,1670,106,1671,102,1678,96,1682,94,1691,94,1694,96,1701,102,1702,106,1702,111,1702,115,1701,119,1694,125,1691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318306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063507pt;width:1.65pt;height:1.65pt;mso-position-horizontal-relative:page;mso-position-vertical-relative:paragraph;z-index:15730688" id="docshape11" coordorigin="1670,501" coordsize="33,33" path="m1691,534l1682,534,1678,532,1671,526,1670,522,1670,513,1671,509,1678,503,1682,501,1691,501,1694,503,1701,509,1702,513,1702,518,1702,522,1701,526,1694,532,1691,53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Fixture and Equipment </w:t>
      </w:r>
      <w:r>
        <w:rPr>
          <w:color w:val="6E6158"/>
        </w:rPr>
        <w:t>Valuation Relocation Benefits</w:t>
      </w:r>
    </w:p>
    <w:p>
      <w:pPr>
        <w:pStyle w:val="BodyText"/>
        <w:spacing w:line="427" w:lineRule="auto"/>
        <w:ind w:right="53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58931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640307pt;width:1.65pt;height:1.65pt;mso-position-horizontal-relative:page;mso-position-vertical-relative:paragraph;z-index:15731200" id="docshape12" coordorigin="1670,93" coordsize="33,33" path="m1691,125l1682,125,1678,124,1671,117,1670,114,1670,105,1671,101,1678,94,1682,93,1691,93,1694,94,1701,101,1702,105,1702,109,1702,114,1701,117,1694,124,1691,1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317297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4.984051pt;width:1.65pt;height:1.65pt;mso-position-horizontal-relative:page;mso-position-vertical-relative:paragraph;z-index:15731712" id="docshape13" coordorigin="1670,500" coordsize="33,33" path="m1691,532l1682,532,1678,531,1671,524,1670,520,1670,511,1671,508,1678,501,1682,500,1691,500,1694,501,1701,508,1702,511,1702,516,1702,520,1701,524,1694,531,1691,5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Commercial and Residential </w:t>
      </w:r>
      <w:r>
        <w:rPr>
          <w:color w:val="6E6158"/>
        </w:rPr>
        <w:t>Tenancies Franchisee/Franchisor Issues</w:t>
      </w:r>
    </w:p>
    <w:p>
      <w:pPr>
        <w:pStyle w:val="BodyText"/>
        <w:spacing w:line="420" w:lineRule="auto"/>
        <w:ind w:right="40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54214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268835pt;width:1.65pt;height:1.65pt;mso-position-horizontal-relative:page;mso-position-vertical-relative:paragraph;z-index:15732224" id="docshape14" coordorigin="1670,85" coordsize="33,33" path="m1691,118l1682,118,1678,116,1671,110,1670,106,1670,97,1671,93,1678,87,1682,85,1691,85,1694,87,1701,93,1702,97,1702,102,1702,106,1701,110,1694,116,1691,1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312580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4.612602pt;width:1.65pt;height:1.65pt;mso-position-horizontal-relative:page;mso-position-vertical-relative:paragraph;z-index:15732736" id="docshape15" coordorigin="1670,492" coordsize="33,33" path="m1691,525l1682,525,1678,523,1671,517,1670,513,1670,504,1671,500,1678,494,1682,492,1691,492,1694,494,1701,500,1702,504,1702,509,1702,513,1701,517,1694,523,1691,5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Environmental Issues /Impact of </w:t>
      </w:r>
      <w:r>
        <w:rPr>
          <w:color w:val="6E6158"/>
        </w:rPr>
        <w:t>Contamination Temporary and Permanent Severance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53205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189378pt;width:1.65pt;height:1.65pt;mso-position-horizontal-relative:page;mso-position-vertical-relative:paragraph;z-index:15733248" id="docshape16" coordorigin="1670,84" coordsize="33,33" path="m1691,116l1682,116,1678,115,1671,108,1670,105,1670,96,1671,92,1678,85,1682,84,1691,84,1694,85,1701,92,1702,96,1702,100,1702,105,1701,108,1694,115,1691,11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Right-to-Take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Challenges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080" w:right="1080"/>
        </w:sectPr>
      </w:pPr>
    </w:p>
    <w:p>
      <w:pPr>
        <w:pStyle w:val="BodyText"/>
        <w:spacing w:line="422" w:lineRule="auto" w:before="83"/>
        <w:ind w:right="636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4272" id="docshape17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375967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9.603758pt;width:1.65pt;height:1.65pt;mso-position-horizontal-relative:page;mso-position-vertical-relative:paragraph;z-index:15734784" id="docshape18" coordorigin="1670,592" coordsize="33,33" path="m1691,625l1682,625,1678,623,1671,617,1670,613,1670,604,1671,600,1678,594,1682,592,1691,592,1694,594,1701,600,1702,604,1702,608,1702,613,1701,617,1694,623,1691,6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634333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9.947556pt;width:1.65pt;height:1.65pt;mso-position-horizontal-relative:page;mso-position-vertical-relative:paragraph;z-index:15735296" id="docshape19" coordorigin="1670,999" coordsize="33,33" path="m1691,1032l1682,1032,1678,1030,1671,1024,1670,1020,1670,1011,1671,1007,1678,1001,1682,999,1691,999,1694,1001,1701,1007,1702,1011,1702,1015,1702,1020,1701,1024,1694,1030,1691,10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Inverse Condemnation Precondemnation </w:t>
      </w:r>
      <w:r>
        <w:rPr>
          <w:color w:val="6E6158"/>
        </w:rPr>
        <w:t>Damages And More</w:t>
      </w:r>
    </w:p>
    <w:p>
      <w:pPr>
        <w:pStyle w:val="BodyText"/>
        <w:spacing w:line="295" w:lineRule="auto" w:before="72"/>
        <w:ind w:left="459" w:right="424"/>
      </w:pPr>
      <w:r>
        <w:rPr>
          <w:color w:val="6E6158"/>
        </w:rPr>
        <w:t>In</w:t>
      </w:r>
      <w:r>
        <w:rPr>
          <w:color w:val="6E6158"/>
          <w:spacing w:val="29"/>
        </w:rPr>
        <w:t> </w:t>
      </w:r>
      <w:r>
        <w:rPr>
          <w:color w:val="6E6158"/>
        </w:rPr>
        <w:t>advising</w:t>
      </w:r>
      <w:r>
        <w:rPr>
          <w:color w:val="6E6158"/>
          <w:spacing w:val="29"/>
        </w:rPr>
        <w:t> </w:t>
      </w:r>
      <w:r>
        <w:rPr>
          <w:color w:val="6E6158"/>
        </w:rPr>
        <w:t>public</w:t>
      </w:r>
      <w:r>
        <w:rPr>
          <w:color w:val="6E6158"/>
          <w:spacing w:val="29"/>
        </w:rPr>
        <w:t> </w:t>
      </w:r>
      <w:r>
        <w:rPr>
          <w:color w:val="6E6158"/>
        </w:rPr>
        <w:t>entities,</w:t>
      </w:r>
      <w:r>
        <w:rPr>
          <w:color w:val="6E6158"/>
          <w:spacing w:val="29"/>
        </w:rPr>
        <w:t> </w:t>
      </w:r>
      <w:r>
        <w:rPr>
          <w:color w:val="6E6158"/>
        </w:rPr>
        <w:t>we</w:t>
      </w:r>
      <w:r>
        <w:rPr>
          <w:color w:val="6E6158"/>
          <w:spacing w:val="29"/>
        </w:rPr>
        <w:t> </w:t>
      </w:r>
      <w:r>
        <w:rPr>
          <w:color w:val="6E6158"/>
        </w:rPr>
        <w:t>believe</w:t>
      </w:r>
      <w:r>
        <w:rPr>
          <w:color w:val="6E6158"/>
          <w:spacing w:val="29"/>
        </w:rPr>
        <w:t> </w:t>
      </w:r>
      <w:r>
        <w:rPr>
          <w:color w:val="6E6158"/>
        </w:rPr>
        <w:t>in</w:t>
      </w:r>
      <w:r>
        <w:rPr>
          <w:color w:val="6E6158"/>
          <w:spacing w:val="29"/>
        </w:rPr>
        <w:t> </w:t>
      </w:r>
      <w:r>
        <w:rPr>
          <w:color w:val="6E6158"/>
        </w:rPr>
        <w:t>a</w:t>
      </w:r>
      <w:r>
        <w:rPr>
          <w:color w:val="6E6158"/>
          <w:spacing w:val="29"/>
        </w:rPr>
        <w:t> </w:t>
      </w:r>
      <w:r>
        <w:rPr>
          <w:color w:val="6E6158"/>
        </w:rPr>
        <w:t>proactive</w:t>
      </w:r>
      <w:r>
        <w:rPr>
          <w:color w:val="6E6158"/>
          <w:spacing w:val="29"/>
        </w:rPr>
        <w:t> </w:t>
      </w:r>
      <w:r>
        <w:rPr>
          <w:color w:val="6E6158"/>
        </w:rPr>
        <w:t>approach,</w:t>
      </w:r>
      <w:r>
        <w:rPr>
          <w:color w:val="6E6158"/>
          <w:spacing w:val="29"/>
        </w:rPr>
        <w:t> </w:t>
      </w:r>
      <w:r>
        <w:rPr>
          <w:color w:val="6E6158"/>
        </w:rPr>
        <w:t>counseling</w:t>
      </w:r>
      <w:r>
        <w:rPr>
          <w:color w:val="6E6158"/>
          <w:spacing w:val="29"/>
        </w:rPr>
        <w:t> </w:t>
      </w:r>
      <w:r>
        <w:rPr>
          <w:color w:val="6E6158"/>
        </w:rPr>
        <w:t>clients</w:t>
      </w:r>
      <w:r>
        <w:rPr>
          <w:color w:val="6E6158"/>
          <w:spacing w:val="29"/>
        </w:rPr>
        <w:t> </w:t>
      </w:r>
      <w:r>
        <w:rPr>
          <w:color w:val="6E6158"/>
        </w:rPr>
        <w:t>prior</w:t>
      </w:r>
      <w:r>
        <w:rPr>
          <w:color w:val="6E6158"/>
          <w:spacing w:val="29"/>
        </w:rPr>
        <w:t> </w:t>
      </w:r>
      <w:r>
        <w:rPr>
          <w:color w:val="6E6158"/>
        </w:rPr>
        <w:t>to litigation about relocation and notice issues, adequacy of appraisals, prelitigation access,</w:t>
      </w:r>
      <w:r>
        <w:rPr>
          <w:color w:val="6E6158"/>
          <w:spacing w:val="40"/>
        </w:rPr>
        <w:t> </w:t>
      </w:r>
      <w:r>
        <w:rPr>
          <w:color w:val="6E6158"/>
        </w:rPr>
        <w:t>sufficiency</w:t>
      </w:r>
      <w:r>
        <w:rPr>
          <w:color w:val="6E6158"/>
          <w:spacing w:val="32"/>
        </w:rPr>
        <w:t> </w:t>
      </w:r>
      <w:r>
        <w:rPr>
          <w:color w:val="6E6158"/>
        </w:rPr>
        <w:t>of</w:t>
      </w:r>
      <w:r>
        <w:rPr>
          <w:color w:val="6E6158"/>
          <w:spacing w:val="32"/>
        </w:rPr>
        <w:t> </w:t>
      </w:r>
      <w:r>
        <w:rPr>
          <w:color w:val="6E6158"/>
        </w:rPr>
        <w:t>project-related</w:t>
      </w:r>
      <w:r>
        <w:rPr>
          <w:color w:val="6E6158"/>
          <w:spacing w:val="32"/>
        </w:rPr>
        <w:t> </w:t>
      </w:r>
      <w:r>
        <w:rPr>
          <w:color w:val="6E6158"/>
        </w:rPr>
        <w:t>environmental</w:t>
      </w:r>
      <w:r>
        <w:rPr>
          <w:color w:val="6E6158"/>
          <w:spacing w:val="32"/>
        </w:rPr>
        <w:t> </w:t>
      </w:r>
      <w:r>
        <w:rPr>
          <w:color w:val="6E6158"/>
        </w:rPr>
        <w:t>review,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similar</w:t>
      </w:r>
      <w:r>
        <w:rPr>
          <w:color w:val="6E6158"/>
          <w:spacing w:val="32"/>
        </w:rPr>
        <w:t> </w:t>
      </w:r>
      <w:r>
        <w:rPr>
          <w:color w:val="6E6158"/>
        </w:rPr>
        <w:t>issues.</w:t>
      </w:r>
      <w:r>
        <w:rPr>
          <w:color w:val="6E6158"/>
          <w:spacing w:val="32"/>
        </w:rPr>
        <w:t> </w:t>
      </w:r>
      <w:r>
        <w:rPr>
          <w:color w:val="6E6158"/>
        </w:rPr>
        <w:t>Our</w:t>
      </w:r>
      <w:r>
        <w:rPr>
          <w:color w:val="6E6158"/>
          <w:spacing w:val="32"/>
        </w:rPr>
        <w:t> </w:t>
      </w:r>
      <w:r>
        <w:rPr>
          <w:color w:val="6E6158"/>
        </w:rPr>
        <w:t>extensive</w:t>
      </w:r>
      <w:r>
        <w:rPr>
          <w:color w:val="6E6158"/>
          <w:spacing w:val="32"/>
        </w:rPr>
        <w:t> </w:t>
      </w:r>
      <w:r>
        <w:rPr>
          <w:color w:val="6E6158"/>
        </w:rPr>
        <w:t>experience is also a valuable asset to private property owners facing the challenge of losing their property or</w:t>
      </w:r>
      <w:r>
        <w:rPr>
          <w:color w:val="6E6158"/>
          <w:spacing w:val="40"/>
        </w:rPr>
        <w:t> </w:t>
      </w:r>
      <w:r>
        <w:rPr>
          <w:color w:val="6E6158"/>
        </w:rPr>
        <w:t>home to condemnation.</w:t>
      </w:r>
    </w:p>
    <w:p>
      <w:pPr>
        <w:pStyle w:val="BodyText"/>
        <w:spacing w:line="295" w:lineRule="auto" w:before="195"/>
        <w:ind w:left="459" w:right="560"/>
      </w:pPr>
      <w:r>
        <w:rPr>
          <w:color w:val="6E6158"/>
        </w:rPr>
        <w:t>Firm attorneys work extensively with right-of-way professionals, appraisers, and other experts </w:t>
      </w:r>
      <w:r>
        <w:rPr>
          <w:color w:val="6E6158"/>
        </w:rPr>
        <w:t>to</w:t>
      </w:r>
      <w:r>
        <w:rPr>
          <w:color w:val="6E6158"/>
          <w:spacing w:val="40"/>
        </w:rPr>
        <w:t> </w:t>
      </w:r>
      <w:r>
        <w:rPr>
          <w:color w:val="6E6158"/>
        </w:rPr>
        <w:t>address issues that arise both before and after litigation is filed. We frequently advise private</w:t>
      </w:r>
      <w:r>
        <w:rPr>
          <w:color w:val="6E6158"/>
          <w:spacing w:val="40"/>
        </w:rPr>
        <w:t> </w:t>
      </w:r>
      <w:r>
        <w:rPr>
          <w:color w:val="6E6158"/>
        </w:rPr>
        <w:t>property owners prior to and following litigation, counseling owners about their rights, how to</w:t>
      </w:r>
      <w:r>
        <w:rPr>
          <w:color w:val="6E6158"/>
          <w:spacing w:val="40"/>
        </w:rPr>
        <w:t> </w:t>
      </w:r>
      <w:r>
        <w:rPr>
          <w:color w:val="6E6158"/>
        </w:rPr>
        <w:t>obtain</w:t>
      </w:r>
      <w:r>
        <w:rPr>
          <w:color w:val="6E6158"/>
          <w:spacing w:val="38"/>
        </w:rPr>
        <w:t> </w:t>
      </w:r>
      <w:r>
        <w:rPr>
          <w:color w:val="6E6158"/>
        </w:rPr>
        <w:t>a</w:t>
      </w:r>
      <w:r>
        <w:rPr>
          <w:color w:val="6E6158"/>
          <w:spacing w:val="38"/>
        </w:rPr>
        <w:t> </w:t>
      </w:r>
      <w:r>
        <w:rPr>
          <w:color w:val="6E6158"/>
        </w:rPr>
        <w:t>competent</w:t>
      </w:r>
      <w:r>
        <w:rPr>
          <w:color w:val="6E6158"/>
          <w:spacing w:val="38"/>
        </w:rPr>
        <w:t> </w:t>
      </w:r>
      <w:r>
        <w:rPr>
          <w:color w:val="6E6158"/>
        </w:rPr>
        <w:t>appraisal,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evaluating</w:t>
      </w:r>
      <w:r>
        <w:rPr>
          <w:color w:val="6E6158"/>
          <w:spacing w:val="38"/>
        </w:rPr>
        <w:t> </w:t>
      </w:r>
      <w:r>
        <w:rPr>
          <w:color w:val="6E6158"/>
        </w:rPr>
        <w:t>possible</w:t>
      </w:r>
      <w:r>
        <w:rPr>
          <w:color w:val="6E6158"/>
          <w:spacing w:val="38"/>
        </w:rPr>
        <w:t> </w:t>
      </w:r>
      <w:r>
        <w:rPr>
          <w:color w:val="6E6158"/>
        </w:rPr>
        <w:t>severance</w:t>
      </w:r>
      <w:r>
        <w:rPr>
          <w:color w:val="6E6158"/>
          <w:spacing w:val="38"/>
        </w:rPr>
        <w:t> </w:t>
      </w:r>
      <w:r>
        <w:rPr>
          <w:color w:val="6E6158"/>
        </w:rPr>
        <w:t>damages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business</w:t>
      </w:r>
    </w:p>
    <w:p>
      <w:pPr>
        <w:pStyle w:val="BodyText"/>
        <w:spacing w:before="1"/>
        <w:ind w:left="459"/>
      </w:pPr>
      <w:r>
        <w:rPr>
          <w:color w:val="6E6158"/>
          <w:spacing w:val="-2"/>
        </w:rPr>
        <w:t>losses.</w:t>
      </w:r>
    </w:p>
    <w:p>
      <w:pPr>
        <w:pStyle w:val="Heading1"/>
        <w:spacing w:before="214"/>
      </w:pPr>
      <w:r>
        <w:rPr>
          <w:color w:val="FF8100"/>
        </w:rPr>
        <w:t>PRACTICE</w:t>
      </w:r>
      <w:r>
        <w:rPr>
          <w:color w:val="FF8100"/>
          <w:spacing w:val="12"/>
        </w:rPr>
        <w:t> </w:t>
      </w:r>
      <w:r>
        <w:rPr>
          <w:color w:val="FF8100"/>
          <w:spacing w:val="-2"/>
        </w:rPr>
        <w:t>HIGHLIGHTS</w:t>
      </w:r>
    </w:p>
    <w:p>
      <w:pPr>
        <w:pStyle w:val="BodyText"/>
        <w:spacing w:before="154" w:after="8"/>
      </w:pPr>
      <w:r>
        <w:rPr>
          <w:color w:val="6E6158"/>
        </w:rPr>
        <w:t>Resolved</w:t>
      </w:r>
      <w:r>
        <w:rPr>
          <w:color w:val="6E6158"/>
          <w:spacing w:val="12"/>
        </w:rPr>
        <w:t> </w:t>
      </w:r>
      <w:r>
        <w:rPr>
          <w:color w:val="6E6158"/>
        </w:rPr>
        <w:t>numerous</w:t>
      </w:r>
      <w:r>
        <w:rPr>
          <w:color w:val="6E6158"/>
          <w:spacing w:val="13"/>
        </w:rPr>
        <w:t> </w:t>
      </w:r>
      <w:r>
        <w:rPr>
          <w:color w:val="6E6158"/>
        </w:rPr>
        <w:t>eminent</w:t>
      </w:r>
      <w:r>
        <w:rPr>
          <w:color w:val="6E6158"/>
          <w:spacing w:val="13"/>
        </w:rPr>
        <w:t> </w:t>
      </w:r>
      <w:r>
        <w:rPr>
          <w:color w:val="6E6158"/>
        </w:rPr>
        <w:t>domain</w:t>
      </w:r>
      <w:r>
        <w:rPr>
          <w:color w:val="6E6158"/>
          <w:spacing w:val="12"/>
        </w:rPr>
        <w:t> </w:t>
      </w:r>
      <w:r>
        <w:rPr>
          <w:color w:val="6E6158"/>
        </w:rPr>
        <w:t>cases</w:t>
      </w:r>
      <w:r>
        <w:rPr>
          <w:color w:val="6E6158"/>
          <w:spacing w:val="13"/>
        </w:rPr>
        <w:t> </w:t>
      </w:r>
      <w:r>
        <w:rPr>
          <w:color w:val="6E6158"/>
        </w:rPr>
        <w:t>for</w:t>
      </w:r>
      <w:r>
        <w:rPr>
          <w:color w:val="6E6158"/>
          <w:spacing w:val="13"/>
        </w:rPr>
        <w:t> </w:t>
      </w:r>
      <w:r>
        <w:rPr>
          <w:color w:val="6E6158"/>
        </w:rPr>
        <w:t>a</w:t>
      </w:r>
      <w:r>
        <w:rPr>
          <w:color w:val="6E6158"/>
          <w:spacing w:val="12"/>
        </w:rPr>
        <w:t> </w:t>
      </w:r>
      <w:r>
        <w:rPr>
          <w:color w:val="6E6158"/>
        </w:rPr>
        <w:t>public</w:t>
      </w:r>
      <w:r>
        <w:rPr>
          <w:color w:val="6E6158"/>
          <w:spacing w:val="13"/>
        </w:rPr>
        <w:t> </w:t>
      </w:r>
      <w:r>
        <w:rPr>
          <w:color w:val="6E6158"/>
        </w:rPr>
        <w:t>entity</w:t>
      </w:r>
      <w:r>
        <w:rPr>
          <w:color w:val="6E6158"/>
          <w:spacing w:val="13"/>
        </w:rPr>
        <w:t> </w:t>
      </w:r>
      <w:r>
        <w:rPr>
          <w:color w:val="6E6158"/>
        </w:rPr>
        <w:t>on</w:t>
      </w:r>
      <w:r>
        <w:rPr>
          <w:color w:val="6E6158"/>
          <w:spacing w:val="13"/>
        </w:rPr>
        <w:t> </w:t>
      </w:r>
      <w:r>
        <w:rPr>
          <w:color w:val="6E6158"/>
        </w:rPr>
        <w:t>favorable</w:t>
      </w:r>
      <w:r>
        <w:rPr>
          <w:color w:val="6E6158"/>
          <w:spacing w:val="12"/>
        </w:rPr>
        <w:t> </w:t>
      </w:r>
      <w:r>
        <w:rPr>
          <w:color w:val="6E6158"/>
        </w:rPr>
        <w:t>terms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involving</w:t>
      </w:r>
    </w:p>
    <w:p>
      <w:pPr>
        <w:spacing w:line="32" w:lineRule="exact"/>
        <w:ind w:left="589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20955" cy="20955"/>
                <wp:effectExtent l="0" t="0" r="0" b="0"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20955" cy="20955"/>
                          <a:chExt cx="20955" cy="2095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2095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0955">
                                <a:moveTo>
                                  <a:pt x="13188" y="20669"/>
                                </a:moveTo>
                                <a:lnTo>
                                  <a:pt x="7480" y="20669"/>
                                </a:lnTo>
                                <a:lnTo>
                                  <a:pt x="5044" y="19660"/>
                                </a:lnTo>
                                <a:lnTo>
                                  <a:pt x="1008" y="15624"/>
                                </a:lnTo>
                                <a:lnTo>
                                  <a:pt x="0" y="13188"/>
                                </a:lnTo>
                                <a:lnTo>
                                  <a:pt x="0" y="7480"/>
                                </a:lnTo>
                                <a:lnTo>
                                  <a:pt x="1008" y="5044"/>
                                </a:lnTo>
                                <a:lnTo>
                                  <a:pt x="5044" y="1008"/>
                                </a:lnTo>
                                <a:lnTo>
                                  <a:pt x="7480" y="0"/>
                                </a:lnTo>
                                <a:lnTo>
                                  <a:pt x="13188" y="0"/>
                                </a:lnTo>
                                <a:lnTo>
                                  <a:pt x="15624" y="1008"/>
                                </a:lnTo>
                                <a:lnTo>
                                  <a:pt x="19660" y="5044"/>
                                </a:lnTo>
                                <a:lnTo>
                                  <a:pt x="20669" y="7480"/>
                                </a:lnTo>
                                <a:lnTo>
                                  <a:pt x="20669" y="10334"/>
                                </a:lnTo>
                                <a:lnTo>
                                  <a:pt x="20669" y="13188"/>
                                </a:lnTo>
                                <a:lnTo>
                                  <a:pt x="19660" y="15624"/>
                                </a:lnTo>
                                <a:lnTo>
                                  <a:pt x="15624" y="19660"/>
                                </a:lnTo>
                                <a:lnTo>
                                  <a:pt x="13188" y="20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.65pt;height:1.65pt;mso-position-horizontal-relative:char;mso-position-vertical-relative:line" id="docshapegroup20" coordorigin="0,0" coordsize="33,33">
                <v:shape style="position:absolute;left:0;top:0;width:33;height:33" id="docshape21" coordorigin="0,0" coordsize="33,33" path="m21,33l12,33,8,31,2,25,0,21,0,12,2,8,8,2,12,0,21,0,25,2,31,8,33,12,33,16,33,21,31,25,25,31,21,33xe" filled="true" fillcolor="#09090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pStyle w:val="BodyText"/>
        <w:spacing w:before="13"/>
      </w:pPr>
      <w:r>
        <w:rPr>
          <w:color w:val="6E6158"/>
        </w:rPr>
        <w:t>complex</w:t>
      </w:r>
      <w:r>
        <w:rPr>
          <w:color w:val="6E6158"/>
          <w:spacing w:val="15"/>
        </w:rPr>
        <w:t> </w:t>
      </w:r>
      <w:r>
        <w:rPr>
          <w:color w:val="6E6158"/>
        </w:rPr>
        <w:t>acquisitions</w:t>
      </w:r>
      <w:r>
        <w:rPr>
          <w:color w:val="6E6158"/>
          <w:spacing w:val="15"/>
        </w:rPr>
        <w:t> </w:t>
      </w:r>
      <w:r>
        <w:rPr>
          <w:color w:val="6E6158"/>
        </w:rPr>
        <w:t>for</w:t>
      </w:r>
      <w:r>
        <w:rPr>
          <w:color w:val="6E6158"/>
          <w:spacing w:val="15"/>
        </w:rPr>
        <w:t> </w:t>
      </w:r>
      <w:r>
        <w:rPr>
          <w:color w:val="6E6158"/>
        </w:rPr>
        <w:t>grade</w:t>
      </w:r>
      <w:r>
        <w:rPr>
          <w:color w:val="6E6158"/>
          <w:spacing w:val="16"/>
        </w:rPr>
        <w:t> </w:t>
      </w:r>
      <w:r>
        <w:rPr>
          <w:color w:val="6E6158"/>
        </w:rPr>
        <w:t>separation</w:t>
      </w:r>
      <w:r>
        <w:rPr>
          <w:color w:val="6E6158"/>
          <w:spacing w:val="15"/>
        </w:rPr>
        <w:t> </w:t>
      </w:r>
      <w:r>
        <w:rPr>
          <w:color w:val="6E6158"/>
        </w:rPr>
        <w:t>projects</w:t>
      </w:r>
      <w:r>
        <w:rPr>
          <w:color w:val="6E6158"/>
          <w:spacing w:val="15"/>
        </w:rPr>
        <w:t> </w:t>
      </w:r>
      <w:r>
        <w:rPr>
          <w:color w:val="6E6158"/>
        </w:rPr>
        <w:t>affecting</w:t>
      </w:r>
      <w:r>
        <w:rPr>
          <w:color w:val="6E6158"/>
          <w:spacing w:val="15"/>
        </w:rPr>
        <w:t> </w:t>
      </w:r>
      <w:r>
        <w:rPr>
          <w:color w:val="6E6158"/>
        </w:rPr>
        <w:t>access,</w:t>
      </w:r>
      <w:r>
        <w:rPr>
          <w:color w:val="6E6158"/>
          <w:spacing w:val="16"/>
        </w:rPr>
        <w:t> </w:t>
      </w:r>
      <w:r>
        <w:rPr>
          <w:color w:val="6E6158"/>
        </w:rPr>
        <w:t>circulation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parking.</w:t>
      </w:r>
    </w:p>
    <w:p>
      <w:pPr>
        <w:pStyle w:val="BodyText"/>
        <w:spacing w:line="292" w:lineRule="auto" w:before="173"/>
        <w:ind w:right="64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262721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686699pt;width:1.65pt;height:1.65pt;mso-position-horizontal-relative:page;mso-position-vertical-relative:paragraph;z-index:15735808" id="docshape22" coordorigin="1670,414" coordsize="33,33" path="m1691,446l1682,446,1678,445,1671,438,1670,435,1670,426,1671,422,1678,415,1682,414,1691,414,1694,415,1701,422,1702,426,1702,430,1702,435,1701,438,1694,445,1691,4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Obtained a $27 million verdict for a shopping center owner in an eminent domain case</w:t>
      </w:r>
      <w:r>
        <w:rPr>
          <w:color w:val="6E6158"/>
          <w:spacing w:val="40"/>
        </w:rPr>
        <w:t> </w:t>
      </w:r>
      <w:r>
        <w:rPr>
          <w:color w:val="6E6158"/>
        </w:rPr>
        <w:t>involving</w:t>
      </w:r>
      <w:r>
        <w:rPr>
          <w:color w:val="6E6158"/>
          <w:spacing w:val="28"/>
        </w:rPr>
        <w:t> </w:t>
      </w:r>
      <w:r>
        <w:rPr>
          <w:color w:val="6E6158"/>
        </w:rPr>
        <w:t>acquisition</w:t>
      </w:r>
      <w:r>
        <w:rPr>
          <w:color w:val="6E6158"/>
          <w:spacing w:val="28"/>
        </w:rPr>
        <w:t> </w:t>
      </w:r>
      <w:r>
        <w:rPr>
          <w:color w:val="6E6158"/>
        </w:rPr>
        <w:t>of</w:t>
      </w:r>
      <w:r>
        <w:rPr>
          <w:color w:val="6E6158"/>
          <w:spacing w:val="28"/>
        </w:rPr>
        <w:t> </w:t>
      </w:r>
      <w:r>
        <w:rPr>
          <w:color w:val="6E6158"/>
        </w:rPr>
        <w:t>a</w:t>
      </w:r>
      <w:r>
        <w:rPr>
          <w:color w:val="6E6158"/>
          <w:spacing w:val="28"/>
        </w:rPr>
        <w:t> </w:t>
      </w:r>
      <w:r>
        <w:rPr>
          <w:color w:val="6E6158"/>
        </w:rPr>
        <w:t>significant</w:t>
      </w:r>
      <w:r>
        <w:rPr>
          <w:color w:val="6E6158"/>
          <w:spacing w:val="28"/>
        </w:rPr>
        <w:t> </w:t>
      </w:r>
      <w:r>
        <w:rPr>
          <w:color w:val="6E6158"/>
        </w:rPr>
        <w:t>portion</w:t>
      </w:r>
      <w:r>
        <w:rPr>
          <w:color w:val="6E6158"/>
          <w:spacing w:val="28"/>
        </w:rPr>
        <w:t> </w:t>
      </w:r>
      <w:r>
        <w:rPr>
          <w:color w:val="6E6158"/>
        </w:rPr>
        <w:t>of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center’s</w:t>
      </w:r>
      <w:r>
        <w:rPr>
          <w:color w:val="6E6158"/>
          <w:spacing w:val="28"/>
        </w:rPr>
        <w:t> </w:t>
      </w:r>
      <w:r>
        <w:rPr>
          <w:color w:val="6E6158"/>
        </w:rPr>
        <w:t>parking</w:t>
      </w:r>
      <w:r>
        <w:rPr>
          <w:color w:val="6E6158"/>
          <w:spacing w:val="28"/>
        </w:rPr>
        <w:t> </w:t>
      </w:r>
      <w:r>
        <w:rPr>
          <w:color w:val="6E6158"/>
        </w:rPr>
        <w:t>for</w:t>
      </w:r>
      <w:r>
        <w:rPr>
          <w:color w:val="6E6158"/>
          <w:spacing w:val="28"/>
        </w:rPr>
        <w:t> </w:t>
      </w:r>
      <w:r>
        <w:rPr>
          <w:color w:val="6E6158"/>
        </w:rPr>
        <w:t>a</w:t>
      </w:r>
      <w:r>
        <w:rPr>
          <w:color w:val="6E6158"/>
          <w:spacing w:val="28"/>
        </w:rPr>
        <w:t> </w:t>
      </w:r>
      <w:r>
        <w:rPr>
          <w:color w:val="6E6158"/>
        </w:rPr>
        <w:t>transit</w:t>
      </w:r>
      <w:r>
        <w:rPr>
          <w:color w:val="6E6158"/>
          <w:spacing w:val="28"/>
        </w:rPr>
        <w:t> </w:t>
      </w:r>
      <w:r>
        <w:rPr>
          <w:color w:val="6E6158"/>
        </w:rPr>
        <w:t>station</w:t>
      </w:r>
    </w:p>
    <w:p>
      <w:pPr>
        <w:pStyle w:val="BodyText"/>
        <w:spacing w:line="292" w:lineRule="auto" w:before="132"/>
        <w:ind w:right="64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329326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931236pt;width:1.65pt;height:1.65pt;mso-position-horizontal-relative:page;mso-position-vertical-relative:paragraph;z-index:15736320" id="docshape23" coordorigin="1670,519" coordsize="33,33" path="m1691,551l1682,551,1678,550,1671,543,1670,539,1670,530,1671,527,1678,520,1682,519,1691,519,1694,520,1701,527,1702,530,1702,535,1702,539,1701,543,1694,550,1691,55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Simultaneously led three separate project teams to obtain, in under six months, necessary</w:t>
      </w:r>
      <w:r>
        <w:rPr>
          <w:color w:val="6E6158"/>
          <w:spacing w:val="40"/>
        </w:rPr>
        <w:t> </w:t>
      </w:r>
      <w:r>
        <w:rPr>
          <w:color w:val="6E6158"/>
        </w:rPr>
        <w:t>property interests from over 75 parcels of land prior to state deadlines, which secured more</w:t>
      </w:r>
      <w:r>
        <w:rPr>
          <w:color w:val="6E6158"/>
          <w:spacing w:val="40"/>
        </w:rPr>
        <w:t> </w:t>
      </w:r>
      <w:r>
        <w:rPr>
          <w:color w:val="6E6158"/>
        </w:rPr>
        <w:t>than $225 million in funds for the projects</w:t>
      </w:r>
    </w:p>
    <w:p>
      <w:pPr>
        <w:pStyle w:val="BodyText"/>
        <w:spacing w:line="295" w:lineRule="auto"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417188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849449pt;width:1.65pt;height:1.65pt;mso-position-horizontal-relative:page;mso-position-vertical-relative:paragraph;z-index:15736832" id="docshape24" coordorigin="1670,657" coordsize="33,33" path="m1691,690l1682,690,1678,688,1671,682,1670,678,1670,669,1671,665,1678,659,1682,657,1691,657,1694,659,1701,665,1702,669,1702,673,1702,678,1701,682,1694,688,1691,69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Defeated, within thirty days, a lawsuit against the public agencies involved in a major public</w:t>
      </w:r>
      <w:r>
        <w:rPr>
          <w:color w:val="6E6158"/>
          <w:spacing w:val="40"/>
        </w:rPr>
        <w:t> </w:t>
      </w:r>
      <w:r>
        <w:rPr>
          <w:color w:val="6E6158"/>
        </w:rPr>
        <w:t>transportation project to the south bay, which sought to stop the project’s funding, saving the</w:t>
      </w:r>
      <w:r>
        <w:rPr>
          <w:color w:val="6E6158"/>
          <w:spacing w:val="40"/>
        </w:rPr>
        <w:t> </w:t>
      </w:r>
      <w:r>
        <w:rPr>
          <w:color w:val="6E6158"/>
        </w:rPr>
        <w:t>agencies considerable litigation costs and allowing the project to secure funding and begin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construction.</w:t>
      </w:r>
    </w:p>
    <w:p>
      <w:pPr>
        <w:pStyle w:val="BodyText"/>
        <w:spacing w:line="302" w:lineRule="auto" w:before="123"/>
        <w:ind w:right="56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235897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4585pt;width:1.65pt;height:1.65pt;mso-position-horizontal-relative:page;mso-position-vertical-relative:paragraph;z-index:15737344" id="docshape25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Obtained judgment by stipulation at Agency’s appraised value after prevailing at trial on </w:t>
      </w:r>
      <w:r>
        <w:rPr>
          <w:color w:val="6E6158"/>
        </w:rPr>
        <w:t>key</w:t>
      </w:r>
      <w:r>
        <w:rPr>
          <w:color w:val="6E6158"/>
          <w:spacing w:val="40"/>
        </w:rPr>
        <w:t> </w:t>
      </w:r>
      <w:r>
        <w:rPr>
          <w:color w:val="6E6158"/>
        </w:rPr>
        <w:t>motions in limine and successfully defended those rulings on appeal.</w:t>
      </w:r>
    </w:p>
    <w:p>
      <w:pPr>
        <w:pStyle w:val="BodyText"/>
        <w:spacing w:line="292" w:lineRule="auto" w:before="113"/>
        <w:ind w:right="64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224241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56775pt;width:1.65pt;height:1.65pt;mso-position-horizontal-relative:page;mso-position-vertical-relative:paragraph;z-index:15737856" id="docshape26" coordorigin="1670,353" coordsize="33,33" path="m1691,386l1682,386,1678,384,1671,378,1670,374,1670,365,1671,361,1678,355,1682,353,1691,353,1694,355,1701,361,1702,365,1702,369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Counsel multinational corporations and landowners in successful negotiations </w:t>
      </w:r>
      <w:r>
        <w:rPr>
          <w:color w:val="6E6158"/>
        </w:rPr>
        <w:t>with condemning agencies</w:t>
      </w:r>
    </w:p>
    <w:sectPr>
      <w:pgSz w:w="12240" w:h="15840"/>
      <w:pgMar w:top="50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71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5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Eminent Domain - Fennemore</dc:title>
  <dcterms:created xsi:type="dcterms:W3CDTF">2026-01-22T11:25:36Z</dcterms:created>
  <dcterms:modified xsi:type="dcterms:W3CDTF">2026-01-22T11:25:36Z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2026-01-22T00:00:00Z</vt:filetime>
  </property>
  <property fmtid="{D5CDD505-2E9C-101B-9397-08002B2CF9AE}" pid="5" name="Producer">
    <vt:lpwstr>Skia/PDF m142</vt:lpwstr>
  </property>
</Properties>
</file>