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anna Kim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HANNA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KIM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510.622.7567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hkim@fennemorelaw.com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Hanna Kim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HANNA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KIM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510.622.7567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hkim@fennemorelaw.com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HANNA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KIM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Hanna</w:t>
      </w:r>
      <w:r>
        <w:rPr>
          <w:color w:val="6E6158"/>
          <w:spacing w:val="32"/>
        </w:rPr>
        <w:t> </w:t>
      </w:r>
      <w:r>
        <w:rPr>
          <w:color w:val="6E6158"/>
        </w:rPr>
        <w:t>Kim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practice,</w:t>
      </w:r>
      <w:r>
        <w:rPr>
          <w:color w:val="6E6158"/>
          <w:spacing w:val="32"/>
        </w:rPr>
        <w:t> </w:t>
      </w:r>
      <w:r>
        <w:rPr>
          <w:color w:val="6E6158"/>
        </w:rPr>
        <w:t>where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represents clients in complex commercial disputes with a focus on strategic, research-driven advocacy. Her</w:t>
      </w:r>
      <w:r>
        <w:rPr>
          <w:color w:val="6E6158"/>
          <w:spacing w:val="40"/>
        </w:rPr>
        <w:t> </w:t>
      </w:r>
      <w:r>
        <w:rPr>
          <w:color w:val="6E6158"/>
        </w:rPr>
        <w:t>background</w:t>
      </w:r>
      <w:r>
        <w:rPr>
          <w:color w:val="6E6158"/>
          <w:spacing w:val="38"/>
        </w:rPr>
        <w:t> </w:t>
      </w:r>
      <w:r>
        <w:rPr>
          <w:color w:val="6E6158"/>
        </w:rPr>
        <w:t>in</w:t>
      </w:r>
      <w:r>
        <w:rPr>
          <w:color w:val="6E6158"/>
          <w:spacing w:val="38"/>
        </w:rPr>
        <w:t> </w:t>
      </w:r>
      <w:r>
        <w:rPr>
          <w:color w:val="6E6158"/>
        </w:rPr>
        <w:t>dispute</w:t>
      </w:r>
      <w:r>
        <w:rPr>
          <w:color w:val="6E6158"/>
          <w:spacing w:val="38"/>
        </w:rPr>
        <w:t> </w:t>
      </w:r>
      <w:r>
        <w:rPr>
          <w:color w:val="6E6158"/>
        </w:rPr>
        <w:t>resolution</w:t>
      </w:r>
      <w:r>
        <w:rPr>
          <w:color w:val="6E6158"/>
          <w:spacing w:val="38"/>
        </w:rPr>
        <w:t> </w:t>
      </w:r>
      <w:r>
        <w:rPr>
          <w:color w:val="6E6158"/>
        </w:rPr>
        <w:t>informs</w:t>
      </w:r>
      <w:r>
        <w:rPr>
          <w:color w:val="6E6158"/>
          <w:spacing w:val="38"/>
        </w:rPr>
        <w:t> </w:t>
      </w:r>
      <w:r>
        <w:rPr>
          <w:color w:val="6E6158"/>
        </w:rPr>
        <w:t>her</w:t>
      </w:r>
      <w:r>
        <w:rPr>
          <w:color w:val="6E6158"/>
          <w:spacing w:val="38"/>
        </w:rPr>
        <w:t> </w:t>
      </w:r>
      <w:r>
        <w:rPr>
          <w:color w:val="6E6158"/>
        </w:rPr>
        <w:t>practical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solutions-oriented</w:t>
      </w:r>
      <w:r>
        <w:rPr>
          <w:color w:val="6E6158"/>
          <w:spacing w:val="38"/>
        </w:rPr>
        <w:t> </w:t>
      </w:r>
      <w:r>
        <w:rPr>
          <w:color w:val="6E6158"/>
        </w:rPr>
        <w:t>approach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</w:p>
    <w:p>
      <w:pPr>
        <w:pStyle w:val="BodyText"/>
        <w:spacing w:line="302" w:lineRule="auto" w:before="0"/>
        <w:ind w:left="99"/>
      </w:pPr>
      <w:r>
        <w:rPr>
          <w:color w:val="6E6158"/>
        </w:rPr>
        <w:t>litigation. During law school, she earned a CALI Award in Mediation, reflecting her skill in identifying</w:t>
      </w:r>
      <w:r>
        <w:rPr>
          <w:color w:val="6E6158"/>
          <w:spacing w:val="19"/>
        </w:rPr>
        <w:t> </w:t>
      </w:r>
      <w:r>
        <w:rPr>
          <w:color w:val="6E6158"/>
        </w:rPr>
        <w:t>common</w:t>
      </w:r>
      <w:r>
        <w:rPr>
          <w:color w:val="6E6158"/>
          <w:spacing w:val="19"/>
        </w:rPr>
        <w:t> </w:t>
      </w:r>
      <w:r>
        <w:rPr>
          <w:color w:val="6E6158"/>
        </w:rPr>
        <w:t>ground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navigating</w:t>
      </w:r>
      <w:r>
        <w:rPr>
          <w:color w:val="6E6158"/>
          <w:spacing w:val="19"/>
        </w:rPr>
        <w:t> </w:t>
      </w:r>
      <w:r>
        <w:rPr>
          <w:color w:val="6E6158"/>
        </w:rPr>
        <w:t>high-stakes</w:t>
      </w:r>
      <w:r>
        <w:rPr>
          <w:color w:val="6E6158"/>
          <w:spacing w:val="19"/>
        </w:rPr>
        <w:t> </w:t>
      </w:r>
      <w:r>
        <w:rPr>
          <w:color w:val="6E6158"/>
        </w:rPr>
        <w:t>conflicts</w:t>
      </w:r>
      <w:r>
        <w:rPr>
          <w:color w:val="6E6158"/>
          <w:spacing w:val="19"/>
        </w:rPr>
        <w:t> </w:t>
      </w:r>
      <w:r>
        <w:rPr>
          <w:color w:val="6E6158"/>
        </w:rPr>
        <w:t>with</w:t>
      </w:r>
      <w:r>
        <w:rPr>
          <w:color w:val="6E6158"/>
          <w:spacing w:val="19"/>
        </w:rPr>
        <w:t> </w:t>
      </w:r>
      <w:r>
        <w:rPr>
          <w:color w:val="6E6158"/>
        </w:rPr>
        <w:t>clarity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composure.</w:t>
      </w:r>
    </w:p>
    <w:p>
      <w:pPr>
        <w:pStyle w:val="BodyText"/>
        <w:spacing w:line="295" w:lineRule="auto" w:before="172"/>
        <w:ind w:left="99" w:right="474"/>
      </w:pPr>
      <w:r>
        <w:rPr>
          <w:color w:val="6E6158"/>
        </w:rPr>
        <w:t>Hanna earned her law degree,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from the University of California Law, San Francisco (formerly UC Hastings), where she served as a teaching assistant in Legal Research and Writing, a</w:t>
      </w:r>
      <w:r>
        <w:rPr>
          <w:color w:val="6E6158"/>
          <w:spacing w:val="40"/>
        </w:rPr>
        <w:t> </w:t>
      </w:r>
      <w:r>
        <w:rPr>
          <w:color w:val="6E6158"/>
        </w:rPr>
        <w:t>Sack Fellow in Torts, and a member of the Moot Court Team. She gained hands-on litigation experience</w:t>
      </w:r>
      <w:r>
        <w:rPr>
          <w:color w:val="6E6158"/>
          <w:spacing w:val="32"/>
        </w:rPr>
        <w:t> </w:t>
      </w:r>
      <w:r>
        <w:rPr>
          <w:color w:val="6E6158"/>
        </w:rPr>
        <w:t>through</w:t>
      </w:r>
      <w:r>
        <w:rPr>
          <w:color w:val="6E6158"/>
          <w:spacing w:val="32"/>
        </w:rPr>
        <w:t> </w:t>
      </w:r>
      <w:r>
        <w:rPr>
          <w:color w:val="6E6158"/>
        </w:rPr>
        <w:t>her</w:t>
      </w:r>
      <w:r>
        <w:rPr>
          <w:color w:val="6E6158"/>
          <w:spacing w:val="32"/>
        </w:rPr>
        <w:t> </w:t>
      </w:r>
      <w:r>
        <w:rPr>
          <w:color w:val="6E6158"/>
        </w:rPr>
        <w:t>internship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San</w:t>
      </w:r>
      <w:r>
        <w:rPr>
          <w:color w:val="6E6158"/>
          <w:spacing w:val="32"/>
        </w:rPr>
        <w:t> </w:t>
      </w:r>
      <w:r>
        <w:rPr>
          <w:color w:val="6E6158"/>
        </w:rPr>
        <w:t>Francisco</w:t>
      </w:r>
      <w:r>
        <w:rPr>
          <w:color w:val="6E6158"/>
          <w:spacing w:val="32"/>
        </w:rPr>
        <w:t> </w:t>
      </w:r>
      <w:r>
        <w:rPr>
          <w:color w:val="6E6158"/>
        </w:rPr>
        <w:t>Superior</w:t>
      </w:r>
      <w:r>
        <w:rPr>
          <w:color w:val="6E6158"/>
          <w:spacing w:val="32"/>
        </w:rPr>
        <w:t> </w:t>
      </w:r>
      <w:r>
        <w:rPr>
          <w:color w:val="6E6158"/>
        </w:rPr>
        <w:t>Court’s</w:t>
      </w:r>
      <w:r>
        <w:rPr>
          <w:color w:val="6E6158"/>
          <w:spacing w:val="32"/>
        </w:rPr>
        <w:t> </w:t>
      </w:r>
      <w:r>
        <w:rPr>
          <w:color w:val="6E6158"/>
        </w:rPr>
        <w:t>Probate</w:t>
      </w:r>
      <w:r>
        <w:rPr>
          <w:color w:val="6E6158"/>
          <w:spacing w:val="32"/>
        </w:rPr>
        <w:t> </w:t>
      </w:r>
      <w:r>
        <w:rPr>
          <w:color w:val="6E6158"/>
        </w:rPr>
        <w:t>Division,</w:t>
      </w:r>
      <w:r>
        <w:rPr>
          <w:color w:val="6E6158"/>
          <w:spacing w:val="32"/>
        </w:rPr>
        <w:t> </w:t>
      </w:r>
      <w:r>
        <w:rPr>
          <w:color w:val="6E6158"/>
        </w:rPr>
        <w:t>as well as with private law firms handling a broad range of business matters.</w:t>
      </w:r>
    </w:p>
    <w:p>
      <w:pPr>
        <w:pStyle w:val="BodyText"/>
        <w:spacing w:line="295" w:lineRule="auto" w:before="179"/>
        <w:ind w:left="99"/>
      </w:pPr>
      <w:r>
        <w:rPr>
          <w:color w:val="6E6158"/>
        </w:rPr>
        <w:t>She holds a B.A., </w:t>
      </w:r>
      <w:r>
        <w:rPr>
          <w:i/>
          <w:color w:val="6E6158"/>
          <w:sz w:val="20"/>
        </w:rPr>
        <w:t>cum laude</w:t>
      </w:r>
      <w:r>
        <w:rPr>
          <w:color w:val="6E6158"/>
        </w:rPr>
        <w:t>, in Liberal Arts and Islamic Studies from Zaytuna College in Berkeley, where she graduated with distinction for her senior thesis exploring ethics and happiness in</w:t>
      </w:r>
      <w:r>
        <w:rPr>
          <w:color w:val="6E6158"/>
          <w:spacing w:val="40"/>
        </w:rPr>
        <w:t> </w:t>
      </w:r>
      <w:r>
        <w:rPr>
          <w:color w:val="6E6158"/>
        </w:rPr>
        <w:t>Western thought.</w:t>
      </w:r>
    </w:p>
    <w:p>
      <w:pPr>
        <w:pStyle w:val="Heading1"/>
        <w:spacing w:before="160"/>
      </w:pPr>
      <w:r>
        <w:rPr>
          <w:color w:val="FF8100"/>
          <w:spacing w:val="-2"/>
        </w:rPr>
        <w:t>EDUCATION</w:t>
      </w:r>
    </w:p>
    <w:p>
      <w:pPr>
        <w:pStyle w:val="BodyText"/>
        <w:spacing w:line="278" w:lineRule="auto" w:before="13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1060346</wp:posOffset>
                </wp:positionH>
                <wp:positionV relativeFrom="paragraph">
                  <wp:posOffset>462850</wp:posOffset>
                </wp:positionV>
                <wp:extent cx="20955" cy="2095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6.444923pt;width:1.65pt;height:1.65pt;mso-position-horizontal-relative:page;mso-position-vertical-relative:paragraph;z-index:-15728128;mso-wrap-distance-left:0;mso-wrap-distance-right:0" id="docshape7" coordorigin="1670,729" coordsize="33,33" path="m1691,761l1682,761,1678,760,1671,754,1670,750,1670,741,1671,737,1678,730,1682,729,1691,729,1694,730,1701,737,1702,741,1702,745,1702,750,1701,754,1694,760,1691,761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519300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40.889771pt;width:1.65pt;height:1.65pt;mso-position-horizontal-relative:page;mso-position-vertical-relative:paragraph;z-index:15729664" id="docshape8" coordorigin="2166,818" coordsize="33,33" path="m2187,850l2178,850,2174,849,2168,842,2166,839,2166,830,2168,826,2174,819,2178,818,2187,818,2191,819,2197,826,2199,830,2199,834,2199,839,2197,842,2191,849,2187,8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California College of the Law, San Francisco (Formerly UC Hastings), </w:t>
      </w:r>
      <w:r>
        <w:rPr>
          <w:i/>
          <w:color w:val="6E6158"/>
          <w:sz w:val="20"/>
        </w:rPr>
        <w:t>cum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0"/>
        <w:ind w:left="848" w:right="0"/>
      </w:pPr>
      <w:r>
        <w:rPr>
          <w:color w:val="6E6158"/>
        </w:rPr>
        <w:t>CALI</w:t>
      </w:r>
      <w:r>
        <w:rPr>
          <w:color w:val="6E6158"/>
          <w:spacing w:val="4"/>
        </w:rPr>
        <w:t> </w:t>
      </w:r>
      <w:r>
        <w:rPr>
          <w:color w:val="6E6158"/>
        </w:rPr>
        <w:t>Award,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Mediation</w:t>
      </w:r>
    </w:p>
    <w:p>
      <w:pPr>
        <w:pStyle w:val="BodyText"/>
        <w:spacing w:line="406" w:lineRule="exact" w:before="3"/>
        <w:ind w:firstLine="49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146220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513412pt;width:1.65pt;height:1.65pt;mso-position-horizontal-relative:page;mso-position-vertical-relative:paragraph;z-index:15730176" id="docshape9" coordorigin="2166,230" coordsize="33,33" path="m2187,263l2178,263,2174,261,2168,255,2166,251,2166,242,2168,238,2174,232,2178,230,2187,230,2191,232,2197,238,2199,242,2199,247,2199,251,2197,255,2191,261,2187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497597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9.180897pt;width:1.65pt;height:1.65pt;mso-position-horizontal-relative:page;mso-position-vertical-relative:paragraph;z-index:15730688" id="docshape10" coordorigin="1670,784" coordsize="33,33" path="m1691,816l1682,816,1678,815,1671,808,1670,804,1670,795,1671,792,1678,785,1682,784,1691,784,1694,785,1701,792,1702,795,1702,800,1702,804,1701,808,1694,815,1691,8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UC Law SF Moot Court Team, Nationals’ Qualifier, Thomas Tang Moot Court Competition B.A., Zaytuna College, </w:t>
      </w:r>
      <w:r>
        <w:rPr>
          <w:i/>
          <w:color w:val="6E6158"/>
          <w:sz w:val="20"/>
        </w:rPr>
        <w:t>cum laude</w:t>
      </w:r>
    </w:p>
    <w:p>
      <w:pPr>
        <w:pStyle w:val="BodyText"/>
        <w:spacing w:before="13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73083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54642pt;width:1.65pt;height:1.65pt;mso-position-horizontal-relative:page;mso-position-vertical-relative:paragraph;z-index:15731200" id="docshape11" coordorigin="2166,115" coordsize="33,33" path="m2187,148l2178,148,2174,146,2168,140,2166,136,2166,127,2168,123,2174,117,2178,115,2187,115,2191,117,2197,123,2199,127,2199,131,2199,136,2197,140,2191,146,2187,1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Distinction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3"/>
        </w:rPr>
        <w:t> </w:t>
      </w:r>
      <w:r>
        <w:rPr>
          <w:color w:val="6E6158"/>
        </w:rPr>
        <w:t>Senior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Thesis</w:t>
      </w:r>
    </w:p>
    <w:p>
      <w:pPr>
        <w:pStyle w:val="BodyText"/>
        <w:spacing w:before="49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72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152827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3666pt;width:1.65pt;height:1.65pt;mso-position-horizontal-relative:page;mso-position-vertical-relative:paragraph;z-index:15731712" id="docshape12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416360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4279pt;width:1.65pt;height:1.65pt;mso-position-horizontal-relative:page;mso-position-vertical-relative:paragraph;z-index:15732224" id="docshape13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674725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28025pt;width:1.65pt;height:1.65pt;mso-position-horizontal-relative:page;mso-position-vertical-relative:paragraph;z-index:15732736" id="docshape14" coordorigin="1670,1063" coordsize="33,33" path="m1691,1095l1682,1095,1678,1094,1671,1087,1670,1083,1670,1074,1671,1071,1678,1064,1682,1063,1691,1063,1694,1064,1701,1071,1702,1074,1702,1079,1702,1083,1701,1087,1694,1094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Labor &amp; </w:t>
      </w:r>
      <w:r>
        <w:rPr>
          <w:color w:val="6E6158"/>
        </w:rPr>
        <w:t>Employment Apparel &amp; Fashion</w:t>
      </w:r>
    </w:p>
    <w:p>
      <w:pPr>
        <w:pStyle w:val="Heading1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3248" id="docshape1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Provost’s Scholar, University of California College of the Law, San Francisco (formerly UC </w:t>
      </w:r>
      <w:r>
        <w:rPr>
          <w:color w:val="6E6158"/>
          <w:spacing w:val="-2"/>
        </w:rPr>
        <w:t>Hastings)</w:t>
      </w:r>
    </w:p>
    <w:p>
      <w:pPr>
        <w:pStyle w:val="BodyText"/>
        <w:spacing w:line="292" w:lineRule="auto"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36pt;width:1.65pt;height:1.65pt;mso-position-horizontal-relative:page;mso-position-vertical-relative:paragraph;z-index:15733760" id="docshape1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 Award, Mediation, University of California College of the Law, San Francisco (formerly UC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Hastings)</w:t>
      </w:r>
    </w:p>
    <w:p>
      <w:pPr>
        <w:pStyle w:val="Heading1"/>
        <w:spacing w:before="284"/>
        <w:ind w:left="56" w:right="810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ind w:left="0" w:right="810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157996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0706pt;width:1.65pt;height:1.65pt;mso-position-horizontal-relative:page;mso-position-vertical-relative:paragraph;z-index:15734272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3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hkim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Hanna Kim - Fennemore</dc:title>
  <dcterms:created xsi:type="dcterms:W3CDTF">2026-01-22T11:12:09Z</dcterms:created>
  <dcterms:modified xsi:type="dcterms:W3CDTF">2026-01-22T11:12:09Z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