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a C. Emadi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0116" y="763308"/>
                            <a:ext cx="200025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LAURA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EMADI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1859626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518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791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9151" y="2226505"/>
                            <a:ext cx="1442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lemadi@fennemorelaw.com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Laura C. Emadi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42;top:-2501;width:3133;height:505" id="docshape5" coordorigin="6943,-2500" coordsize="3133,505" path="m10076,-2004l6943,-2004,6943,-1996,10076,-1996,10076,-2004xm10076,-2500l6943,-2500,6943,-2492,10076,-2492,10076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2;top:-3455;width:3150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LAURA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EMADI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76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82;top:-1151;width:227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lemadi@fennemorelaw.com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LAURA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EMADI</w:t>
      </w:r>
    </w:p>
    <w:p>
      <w:pPr>
        <w:pStyle w:val="BodyText"/>
        <w:spacing w:line="295" w:lineRule="auto" w:before="147"/>
        <w:ind w:left="99" w:right="138"/>
      </w:pPr>
      <w:r>
        <w:rPr>
          <w:color w:val="6E6158"/>
        </w:rPr>
        <w:t>Laura C. Emadi is an attorney based in San Antonio, Texas, who represents management in all</w:t>
      </w:r>
      <w:r>
        <w:rPr>
          <w:color w:val="6E6158"/>
          <w:spacing w:val="40"/>
        </w:rPr>
        <w:t> </w:t>
      </w:r>
      <w:r>
        <w:rPr>
          <w:color w:val="6E6158"/>
        </w:rPr>
        <w:t>areas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labor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both</w:t>
      </w:r>
      <w:r>
        <w:rPr>
          <w:color w:val="6E6158"/>
          <w:spacing w:val="26"/>
        </w:rPr>
        <w:t> </w:t>
      </w:r>
      <w:r>
        <w:rPr>
          <w:color w:val="6E6158"/>
        </w:rPr>
        <w:t>federal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courts.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advises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 all areas of labor and employment law and defends employers on matters involving workplace</w:t>
      </w:r>
      <w:r>
        <w:rPr>
          <w:color w:val="6E6158"/>
          <w:spacing w:val="40"/>
        </w:rPr>
        <w:t> </w:t>
      </w:r>
      <w:r>
        <w:rPr>
          <w:color w:val="6E6158"/>
        </w:rPr>
        <w:t>discrimination, harassment, wage and hour compliance, wrongful termination, and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litigation. Her experience includes litigating claims brought under Title VII of the Civil Rights Act of</w:t>
      </w:r>
      <w:r>
        <w:rPr>
          <w:color w:val="6E6158"/>
          <w:spacing w:val="40"/>
        </w:rPr>
        <w:t> </w:t>
      </w:r>
      <w:r>
        <w:rPr>
          <w:color w:val="6E6158"/>
        </w:rPr>
        <w:t>1964, Americans with Disabilities Act, Age Discrimination in Employment Act, Family and Medical</w:t>
      </w:r>
      <w:r>
        <w:rPr>
          <w:color w:val="6E6158"/>
          <w:spacing w:val="40"/>
        </w:rPr>
        <w:t> </w:t>
      </w:r>
      <w:r>
        <w:rPr>
          <w:color w:val="6E6158"/>
        </w:rPr>
        <w:t>Leave Act, Fair Labor Standards Act, and state law equivalents in numerous states around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country</w:t>
      </w:r>
    </w:p>
    <w:p>
      <w:pPr>
        <w:pStyle w:val="BodyText"/>
        <w:spacing w:line="292" w:lineRule="auto" w:before="206"/>
        <w:ind w:left="99" w:right="161"/>
      </w:pPr>
      <w:r>
        <w:rPr>
          <w:color w:val="6E6158"/>
        </w:rPr>
        <w:t>Before focusing her practice on employment and labor law, Laura began her legal career in</w:t>
      </w:r>
      <w:r>
        <w:rPr>
          <w:color w:val="6E6158"/>
          <w:spacing w:val="40"/>
        </w:rPr>
        <w:t> </w:t>
      </w:r>
      <w:r>
        <w:rPr>
          <w:color w:val="6E6158"/>
        </w:rPr>
        <w:t>personal injury law at a firm in Austin, Texas. She later returned to San Antonio in 2018, where she</w:t>
      </w:r>
      <w:r>
        <w:rPr>
          <w:color w:val="6E6158"/>
          <w:spacing w:val="40"/>
        </w:rPr>
        <w:t> </w:t>
      </w:r>
      <w:r>
        <w:rPr>
          <w:color w:val="6E6158"/>
        </w:rPr>
        <w:t>practiced commercial and business litigation, representing companies in contract disputes,</w:t>
      </w:r>
      <w:r>
        <w:rPr>
          <w:color w:val="6E6158"/>
          <w:spacing w:val="40"/>
        </w:rPr>
        <w:t> </w:t>
      </w:r>
      <w:r>
        <w:rPr>
          <w:color w:val="6E6158"/>
        </w:rPr>
        <w:t>business torts, and complex civil matters.</w:t>
      </w:r>
    </w:p>
    <w:p>
      <w:pPr>
        <w:pStyle w:val="BodyText"/>
        <w:spacing w:line="292" w:lineRule="auto" w:before="206"/>
        <w:ind w:left="99" w:right="161"/>
      </w:pPr>
      <w:r>
        <w:rPr>
          <w:color w:val="6E6158"/>
        </w:rPr>
        <w:t>Laura earned her Bachelor of Arts from the University of Virginia. After graduation, she moved to</w:t>
      </w:r>
      <w:r>
        <w:rPr>
          <w:color w:val="6E6158"/>
          <w:spacing w:val="40"/>
        </w:rPr>
        <w:t> </w:t>
      </w:r>
      <w:r>
        <w:rPr>
          <w:color w:val="6E6158"/>
        </w:rPr>
        <w:t>San</w:t>
      </w:r>
      <w:r>
        <w:rPr>
          <w:color w:val="6E6158"/>
          <w:spacing w:val="26"/>
        </w:rPr>
        <w:t> </w:t>
      </w:r>
      <w:r>
        <w:rPr>
          <w:color w:val="6E6158"/>
        </w:rPr>
        <w:t>Antonio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spent</w:t>
      </w:r>
      <w:r>
        <w:rPr>
          <w:color w:val="6E6158"/>
          <w:spacing w:val="26"/>
        </w:rPr>
        <w:t> </w:t>
      </w:r>
      <w:r>
        <w:rPr>
          <w:color w:val="6E6158"/>
        </w:rPr>
        <w:t>three</w:t>
      </w:r>
      <w:r>
        <w:rPr>
          <w:color w:val="6E6158"/>
          <w:spacing w:val="26"/>
        </w:rPr>
        <w:t> </w:t>
      </w:r>
      <w:r>
        <w:rPr>
          <w:color w:val="6E6158"/>
        </w:rPr>
        <w:t>years</w:t>
      </w:r>
      <w:r>
        <w:rPr>
          <w:color w:val="6E6158"/>
          <w:spacing w:val="26"/>
        </w:rPr>
        <w:t> </w:t>
      </w:r>
      <w:r>
        <w:rPr>
          <w:color w:val="6E6158"/>
        </w:rPr>
        <w:t>teaching</w:t>
      </w:r>
      <w:r>
        <w:rPr>
          <w:color w:val="6E6158"/>
          <w:spacing w:val="26"/>
        </w:rPr>
        <w:t> </w:t>
      </w:r>
      <w:r>
        <w:rPr>
          <w:color w:val="6E6158"/>
        </w:rPr>
        <w:t>middle</w:t>
      </w:r>
      <w:r>
        <w:rPr>
          <w:color w:val="6E6158"/>
          <w:spacing w:val="26"/>
        </w:rPr>
        <w:t> </w:t>
      </w:r>
      <w:r>
        <w:rPr>
          <w:color w:val="6E6158"/>
        </w:rPr>
        <w:t>school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high</w:t>
      </w:r>
      <w:r>
        <w:rPr>
          <w:color w:val="6E6158"/>
          <w:spacing w:val="26"/>
        </w:rPr>
        <w:t> </w:t>
      </w:r>
      <w:r>
        <w:rPr>
          <w:color w:val="6E6158"/>
        </w:rPr>
        <w:t>school</w:t>
      </w:r>
      <w:r>
        <w:rPr>
          <w:color w:val="6E6158"/>
          <w:spacing w:val="26"/>
        </w:rPr>
        <w:t> </w:t>
      </w:r>
      <w:r>
        <w:rPr>
          <w:color w:val="6E6158"/>
        </w:rPr>
        <w:t>math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a disciplinary school—an experience that strengthened her ability to problem-solve and </w:t>
      </w:r>
      <w:r>
        <w:rPr>
          <w:color w:val="6E6158"/>
        </w:rPr>
        <w:t>advocate</w:t>
      </w:r>
      <w:r>
        <w:rPr>
          <w:color w:val="6E6158"/>
          <w:spacing w:val="40"/>
        </w:rPr>
        <w:t> </w:t>
      </w:r>
      <w:r>
        <w:rPr>
          <w:color w:val="6E6158"/>
        </w:rPr>
        <w:t>effectively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others.</w:t>
      </w:r>
      <w:r>
        <w:rPr>
          <w:color w:val="6E6158"/>
          <w:spacing w:val="25"/>
        </w:rPr>
        <w:t> </w:t>
      </w:r>
      <w:r>
        <w:rPr>
          <w:color w:val="6E6158"/>
        </w:rPr>
        <w:t>Laura</w:t>
      </w:r>
      <w:r>
        <w:rPr>
          <w:color w:val="6E6158"/>
          <w:spacing w:val="25"/>
        </w:rPr>
        <w:t> </w:t>
      </w:r>
      <w:r>
        <w:rPr>
          <w:color w:val="6E6158"/>
        </w:rPr>
        <w:t>earned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degree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Texas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</w:p>
    <w:p>
      <w:pPr>
        <w:pStyle w:val="BodyText"/>
        <w:spacing w:line="292" w:lineRule="auto" w:before="10"/>
        <w:ind w:left="99" w:right="161"/>
      </w:pPr>
      <w:r>
        <w:rPr>
          <w:color w:val="6E6158"/>
        </w:rPr>
        <w:t>During law school, she served as a senior law clerk for the Travis County Attorney’s Office in its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40"/>
        </w:rPr>
        <w:t>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gaining</w:t>
      </w:r>
      <w:r>
        <w:rPr>
          <w:color w:val="6E6158"/>
          <w:spacing w:val="40"/>
        </w:rPr>
        <w:t> </w:t>
      </w:r>
      <w:r>
        <w:rPr>
          <w:color w:val="6E6158"/>
        </w:rPr>
        <w:t>valuable</w:t>
      </w:r>
      <w:r>
        <w:rPr>
          <w:color w:val="6E6158"/>
          <w:spacing w:val="40"/>
        </w:rPr>
        <w:t> </w:t>
      </w:r>
      <w:r>
        <w:rPr>
          <w:color w:val="6E6158"/>
        </w:rPr>
        <w:t>courtroom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40"/>
        </w:rPr>
        <w:t> </w:t>
      </w:r>
      <w:r>
        <w:rPr>
          <w:color w:val="6E6158"/>
        </w:rPr>
        <w:t>experience.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5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036pt;width:1.65pt;height:1.65pt;mso-position-horizontal-relative:page;mso-position-vertical-relative:paragraph;z-index:15729152" id="docshape11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416163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78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Texas School of </w:t>
      </w:r>
      <w:r>
        <w:rPr>
          <w:color w:val="6E6158"/>
        </w:rPr>
        <w:t>Law</w:t>
      </w:r>
      <w:r>
        <w:rPr>
          <w:color w:val="6E6158"/>
        </w:rPr>
        <w:t> B.A., University of Virginia</w:t>
      </w:r>
    </w:p>
    <w:p>
      <w:pPr>
        <w:pStyle w:val="Heading1"/>
        <w:spacing w:before="15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416pt;width:1.65pt;height:1.65pt;mso-position-horizontal-relative:page;mso-position-vertical-relative:paragraph;z-index:15730176" id="docshape1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right="2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338697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69056pt;width:1.65pt;height:1.65pt;mso-position-horizontal-relative:page;mso-position-vertical-relative:paragraph;z-index:15730688" id="docshape14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company defending against claims of racial discrimination and</w:t>
      </w:r>
      <w:r>
        <w:rPr>
          <w:color w:val="6E6158"/>
          <w:spacing w:val="40"/>
        </w:rPr>
        <w:t> </w:t>
      </w:r>
      <w:r>
        <w:rPr>
          <w:color w:val="6E6158"/>
        </w:rPr>
        <w:t>retaliation under Title VII, prevailed on a summary judgment motion dismissing all of plaintiff’s</w:t>
      </w:r>
      <w:r>
        <w:rPr>
          <w:color w:val="6E6158"/>
          <w:spacing w:val="40"/>
        </w:rPr>
        <w:t> </w:t>
      </w:r>
      <w:r>
        <w:rPr>
          <w:color w:val="6E6158"/>
        </w:rPr>
        <w:t>claims, and ultimately prevailing on appeal before the 5th Circuit.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right="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391469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24387pt;width:1.65pt;height:1.65pt;mso-position-horizontal-relative:page;mso-position-vertical-relative:paragraph;z-index:15731200" id="docshape15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major company in claims brought by a current employee arguing racial discrimination and retaliation under Section1981 and Chapter 760 of the Florida Statute,</w:t>
      </w:r>
      <w:r>
        <w:rPr>
          <w:color w:val="6E6158"/>
          <w:spacing w:val="40"/>
        </w:rPr>
        <w:t> </w:t>
      </w:r>
      <w:r>
        <w:rPr>
          <w:color w:val="6E6158"/>
        </w:rPr>
        <w:t>dismissing the retaliation claims as preempted under the LMRA, and ultimately prevailing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the plaintiff’s remaining racial discrimination claim.</w:t>
      </w:r>
    </w:p>
    <w:p>
      <w:pPr>
        <w:pStyle w:val="Heading1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245560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5438pt;width:1.65pt;height:1.65pt;mso-position-horizontal-relative:page;mso-position-vertical-relative:paragraph;z-index:15731712" id="docshape16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America: Ones to Watch®, in Labor and Employment Law – Management and</w:t>
      </w:r>
      <w:r>
        <w:rPr>
          <w:color w:val="6E6158"/>
          <w:spacing w:val="40"/>
        </w:rPr>
        <w:t> </w:t>
      </w:r>
      <w:r>
        <w:rPr>
          <w:color w:val="6E6158"/>
        </w:rPr>
        <w:t>Litigation – Labor and Employment, 2026</w:t>
      </w:r>
    </w:p>
    <w:p>
      <w:pPr>
        <w:pStyle w:val="BodyText"/>
        <w:spacing w:line="412" w:lineRule="auto" w:before="122"/>
        <w:ind w:right="27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143288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2551pt;width:1.65pt;height:1.65pt;mso-position-horizontal-relative:page;mso-position-vertical-relative:paragraph;z-index:15732224" id="docshape1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406821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33161pt;width:1.65pt;height:1.65pt;mso-position-horizontal-relative:page;mso-position-vertical-relative:paragraph;z-index:15732736" id="docshape18" coordorigin="1670,641" coordsize="33,33" path="m1691,673l1682,673,1678,672,1671,665,1670,661,1670,652,1671,649,1678,642,1682,641,1691,641,1694,642,1701,649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665186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76911pt;width:1.65pt;height:1.65pt;mso-position-horizontal-relative:page;mso-position-vertical-relative:paragraph;z-index:15733248" id="docshape19" coordorigin="1670,1048" coordsize="33,33" path="m1691,1080l1682,1080,1678,1078,1671,1072,1670,1068,1670,1059,1671,1055,1678,1049,1682,1048,1691,1048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</w:t>
      </w:r>
      <w:r>
        <w:rPr>
          <w:color w:val="6E6158"/>
        </w:rPr>
        <w:t>2025 Best Labor And Employment Lawyers, Scene in S.A. 2022 – 2024</w:t>
      </w:r>
      <w:r>
        <w:rPr>
          <w:color w:val="6E6158"/>
          <w:spacing w:val="40"/>
        </w:rPr>
        <w:t> </w:t>
      </w:r>
      <w:r>
        <w:rPr>
          <w:color w:val="6E6158"/>
        </w:rPr>
        <w:t>Rising Star San Antonio Lawyer, Scene in S.A., 2023 – 2024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69393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464077pt;width:1.65pt;height:1.65pt;mso-position-horizontal-relative:page;mso-position-vertical-relative:paragraph;z-index:15733760" id="docshape20" coordorigin="1670,109" coordsize="33,33" path="m1691,142l1682,142,1678,140,1671,134,1670,130,1670,121,1671,117,1678,111,1682,109,1691,109,1694,111,1701,117,1702,121,1702,126,1702,130,1701,134,1694,140,1691,1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Antonio’s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1"/>
        </w:rPr>
        <w:t> </w:t>
      </w:r>
      <w:r>
        <w:rPr>
          <w:color w:val="6E6158"/>
        </w:rPr>
        <w:t>Scene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S.A.,</w:t>
      </w:r>
      <w:r>
        <w:rPr>
          <w:color w:val="6E6158"/>
          <w:spacing w:val="11"/>
        </w:rPr>
        <w:t> </w:t>
      </w:r>
      <w:r>
        <w:rPr>
          <w:color w:val="6E6158"/>
        </w:rPr>
        <w:t>2022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82"/>
        <w:ind w:right="17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175388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123pt;width:1.65pt;height:1.65pt;mso-position-horizontal-relative:page;mso-position-vertical-relative:paragraph;z-index:15734272" id="docshape2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438921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073pt;width:1.65pt;height:1.65pt;mso-position-horizontal-relative:page;mso-position-vertical-relative:paragraph;z-index:15734784" id="docshape22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San Antonio Magazine, 2022 – </w:t>
      </w:r>
      <w:r>
        <w:rPr>
          <w:color w:val="6E6158"/>
        </w:rPr>
        <w:t>2023 Super Lawyers Rising Star, 2021 – 2022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250915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7151pt;width:1.65pt;height:1.65pt;mso-position-horizontal-relative:page;mso-position-vertical-relative:paragraph;z-index:15735296" id="docshape23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Dylan, “A Brave New World After Hamilton v. Dallas County,” 110 Advocate 41, Spring 2025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6"/>
        <w:ind w:right="1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245556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5135pt;width:1.65pt;height:1.65pt;mso-position-horizontal-relative:page;mso-position-vertical-relative:paragraph;z-index:15735808" id="docshape24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Treasurer, Labor and Employment Law Section, San Antonio Bar Association, 2024-2025, 2025 –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32"/>
        <w:ind w:right="38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143283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2202pt;width:1.65pt;height:1.65pt;mso-position-horizontal-relative:page;mso-position-vertical-relative:paragraph;z-index:15736320" id="docshape25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401649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5944pt;width:1.65pt;height:1.65pt;mso-position-horizontal-relative:page;mso-position-vertical-relative:paragraph;z-index:15736832" id="docshape26" coordorigin="1670,633" coordsize="33,33" path="m1691,665l1682,665,1678,663,1671,657,1670,653,1670,644,1671,640,1678,634,1682,633,1691,633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665182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76583pt;width:1.65pt;height:1.65pt;mso-position-horizontal-relative:page;mso-position-vertical-relative:paragraph;z-index:15737344" id="docshape27" coordorigin="1670,1048" coordsize="33,33" path="m1691,1080l1682,1080,1678,1078,1671,1072,1670,1068,1670,1059,1671,1055,1678,1049,1682,1048,1691,1048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William S. Sessions American Inn of </w:t>
      </w:r>
      <w:r>
        <w:rPr>
          <w:color w:val="6E6158"/>
        </w:rPr>
        <w:t>Court Member, Bexar County Women’s Bar Association Member, San Antonio Bar Association</w:t>
      </w:r>
    </w:p>
    <w:p>
      <w:pPr>
        <w:pStyle w:val="BodyText"/>
        <w:spacing w:line="427" w:lineRule="auto"/>
        <w:ind w:right="38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63117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9875pt;width:1.65pt;height:1.65pt;mso-position-horizontal-relative:page;mso-position-vertical-relative:paragraph;z-index:15737856" id="docshape28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321482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13618pt;width:1.65pt;height:1.65pt;mso-position-horizontal-relative:page;mso-position-vertical-relative:paragraph;z-index:15738368" id="docshape29" coordorigin="1670,506" coordsize="33,33" path="m1691,539l1682,539,1678,537,1671,531,1670,527,1670,518,1671,514,1678,508,1682,506,1691,506,1694,508,1701,514,1702,518,1702,523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Young Lawyers </w:t>
      </w:r>
      <w:r>
        <w:rPr>
          <w:color w:val="6E6158"/>
        </w:rPr>
        <w:t>Association Fellow, Texas Bar Foundation</w:t>
      </w:r>
    </w:p>
    <w:p>
      <w:pPr>
        <w:pStyle w:val="Heading1"/>
        <w:spacing w:before="15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158042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28pt;width:1.65pt;height:1.65pt;mso-position-horizontal-relative:page;mso-position-vertical-relative:paragraph;z-index:15738880" id="docshape3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175137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318pt;width:1.65pt;height:1.65pt;mso-position-horizontal-relative:page;mso-position-vertical-relative:paragraph;z-index:15739392" id="docshape3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175086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356pt;width:1.65pt;height:1.65pt;mso-position-horizontal-relative:page;mso-position-vertical-relative:paragraph;z-index:15739904" id="docshape32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175036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418pt;width:1.65pt;height:1.65pt;mso-position-horizontal-relative:page;mso-position-vertical-relative:paragraph;z-index:15740416" id="docshape3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175074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376pt;width:1.65pt;height:1.65pt;mso-position-horizontal-relative:page;mso-position-vertical-relative:paragraph;z-index:15740928" id="docshape3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175024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438pt;width:1.65pt;height:1.65pt;mso-position-horizontal-relative:page;mso-position-vertical-relative:paragraph;z-index:15741440" id="docshape3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174973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476pt;width:1.65pt;height:1.65pt;mso-position-horizontal-relative:page;mso-position-vertical-relative:paragraph;z-index:15741952" id="docshape36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180178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187258pt;width:1.65pt;height:1.65pt;mso-position-horizontal-relative:page;mso-position-vertical-relative:paragraph;z-index:15742464" id="docshape37" coordorigin="1670,284" coordsize="33,33" path="m1691,316l1682,316,1678,315,1671,308,1670,305,1670,296,1671,292,1678,285,1682,284,1691,284,1694,285,1701,292,1702,296,1702,300,1702,305,1701,308,1694,315,1691,3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5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lemad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C. Emadi - Fennemore</dc:title>
  <dcterms:created xsi:type="dcterms:W3CDTF">2026-01-22T11:11:15Z</dcterms:created>
  <dcterms:modified xsi:type="dcterms:W3CDTF">2026-01-22T11:11:15Z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