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-3163937</wp:posOffset>
                </wp:positionV>
                <wp:extent cx="6071870" cy="30956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095625"/>
                          <a:chExt cx="6071870" cy="309562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rc Brainic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36933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18601" y="320382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65930" y="763308"/>
                            <a:ext cx="19881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MARC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BRAINICH</w:t>
                              </w:r>
                            </w:p>
                            <w:p>
                              <w:pPr>
                                <w:spacing w:before="39"/>
                                <w:ind w:left="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34971" y="1859626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9413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510.622.7673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205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415.205.5367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60834" y="2221308"/>
                            <a:ext cx="159829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27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mbrainich@fennemorelaw.com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49.128906pt;width:478.1pt;height:243.75pt;mso-position-horizontal-relative:page;mso-position-vertical-relative:paragraph;z-index:15728640" id="docshapegroup1" coordorigin="1336,-4983" coordsize="9562,4875">
                <v:shape style="position:absolute;left:1336;top:-4983;width:2165;height:424" type="#_x0000_t75" id="docshape2" alt="Fennemore" href="https://www.fennemorelaw.com/" stroked="false">
                  <v:imagedata r:id="rId5" o:title=""/>
                </v:shape>
                <v:shape style="position:absolute;left:1336;top:-4560;width:4785;height:4452" type="#_x0000_t75" id="docshape3" alt="Marc Brainich" stroked="false">
                  <v:imagedata r:id="rId7" o:title=""/>
                </v:shape>
                <v:rect style="position:absolute;left:6121;top:-4560;width:4777;height:4452" id="docshape4" filled="true" fillcolor="#262424" stroked="false">
                  <v:fill type="solid"/>
                </v:rect>
                <v:shape style="position:absolute;left:6837;top:-2827;width:3337;height:505" id="docshape5" coordorigin="6837,-2826" coordsize="3337,505" path="m10174,-2330l6837,-2330,6837,-2322,10174,-2322,10174,-2330xm10174,-2826l6837,-2826,6837,-2818,10174,-2818,10174,-282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51;top:-3781;width:313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MARC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BRAINICH</w:t>
                        </w:r>
                      </w:p>
                      <w:p>
                        <w:pPr>
                          <w:spacing w:before="39"/>
                          <w:ind w:left="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2;top:-2055;width:70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3;top:-180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510.622.7673</w:t>
                        </w:r>
                      </w:p>
                    </w:txbxContent>
                  </v:textbox>
                  <w10:wrap type="none"/>
                </v:shape>
                <v:shape style="position:absolute;left:8804;top:-180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415.205.5367</w:t>
                        </w:r>
                      </w:p>
                    </w:txbxContent>
                  </v:textbox>
                  <w10:wrap type="none"/>
                </v:shape>
                <v:shape style="position:absolute;left:7258;top:-1485;width:2517;height:534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27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mbrainich@fennemorelaw.com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MARC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BRAINICH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Marc Brainich is a distinguished attorney in our Oakland office who has more than 25 years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litigation</w:t>
      </w:r>
      <w:r>
        <w:rPr>
          <w:color w:val="6E6158"/>
          <w:spacing w:val="26"/>
        </w:rPr>
        <w:t> </w:t>
      </w:r>
      <w:r>
        <w:rPr>
          <w:color w:val="6E6158"/>
        </w:rPr>
        <w:t>experience.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dynamic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focuses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matters</w:t>
      </w:r>
      <w:r>
        <w:rPr>
          <w:color w:val="6E6158"/>
          <w:spacing w:val="26"/>
        </w:rPr>
        <w:t> </w:t>
      </w:r>
      <w:r>
        <w:rPr>
          <w:color w:val="6E6158"/>
        </w:rPr>
        <w:t>such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public</w:t>
      </w:r>
      <w:r>
        <w:rPr>
          <w:color w:val="6E6158"/>
          <w:spacing w:val="26"/>
        </w:rPr>
        <w:t> </w:t>
      </w:r>
      <w:r>
        <w:rPr>
          <w:color w:val="6E6158"/>
        </w:rPr>
        <w:t>entity</w:t>
      </w:r>
    </w:p>
    <w:p>
      <w:pPr>
        <w:pStyle w:val="BodyText"/>
        <w:spacing w:before="9"/>
        <w:ind w:left="99"/>
      </w:pPr>
      <w:r>
        <w:rPr>
          <w:color w:val="6E6158"/>
        </w:rPr>
        <w:t>liability,</w:t>
      </w:r>
      <w:r>
        <w:rPr>
          <w:color w:val="6E6158"/>
          <w:spacing w:val="13"/>
        </w:rPr>
        <w:t> </w:t>
      </w:r>
      <w:r>
        <w:rPr>
          <w:color w:val="6E6158"/>
        </w:rPr>
        <w:t>mass</w:t>
      </w:r>
      <w:r>
        <w:rPr>
          <w:color w:val="6E6158"/>
          <w:spacing w:val="13"/>
        </w:rPr>
        <w:t> </w:t>
      </w:r>
      <w:r>
        <w:rPr>
          <w:color w:val="6E6158"/>
        </w:rPr>
        <w:t>toxic</w:t>
      </w:r>
      <w:r>
        <w:rPr>
          <w:color w:val="6E6158"/>
          <w:spacing w:val="13"/>
        </w:rPr>
        <w:t> </w:t>
      </w:r>
      <w:r>
        <w:rPr>
          <w:color w:val="6E6158"/>
        </w:rPr>
        <w:t>torts,</w:t>
      </w:r>
      <w:r>
        <w:rPr>
          <w:color w:val="6E6158"/>
          <w:spacing w:val="14"/>
        </w:rPr>
        <w:t> </w:t>
      </w:r>
      <w:r>
        <w:rPr>
          <w:color w:val="6E6158"/>
        </w:rPr>
        <w:t>medical</w:t>
      </w:r>
      <w:r>
        <w:rPr>
          <w:color w:val="6E6158"/>
          <w:spacing w:val="13"/>
        </w:rPr>
        <w:t> </w:t>
      </w:r>
      <w:r>
        <w:rPr>
          <w:color w:val="6E6158"/>
        </w:rPr>
        <w:t>professional</w:t>
      </w:r>
      <w:r>
        <w:rPr>
          <w:color w:val="6E6158"/>
          <w:spacing w:val="13"/>
        </w:rPr>
        <w:t> </w:t>
      </w:r>
      <w:r>
        <w:rPr>
          <w:color w:val="6E6158"/>
        </w:rPr>
        <w:t>liability,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personal</w:t>
      </w:r>
      <w:r>
        <w:rPr>
          <w:color w:val="6E6158"/>
          <w:spacing w:val="13"/>
        </w:rPr>
        <w:t> </w:t>
      </w:r>
      <w:r>
        <w:rPr>
          <w:color w:val="6E6158"/>
        </w:rPr>
        <w:t>injuries</w:t>
      </w:r>
      <w:r>
        <w:rPr>
          <w:color w:val="6E6158"/>
          <w:spacing w:val="14"/>
        </w:rPr>
        <w:t> </w:t>
      </w:r>
      <w:r>
        <w:rPr>
          <w:color w:val="6E6158"/>
        </w:rPr>
        <w:t>across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various</w:t>
      </w:r>
    </w:p>
    <w:p>
      <w:pPr>
        <w:pStyle w:val="BodyText"/>
        <w:spacing w:line="292" w:lineRule="auto" w:before="52"/>
        <w:ind w:left="99" w:right="607"/>
      </w:pPr>
      <w:r>
        <w:rPr>
          <w:color w:val="6E6158"/>
        </w:rPr>
        <w:t>industries, including governmental entities, healthcare providers, major energy producers,</w:t>
      </w:r>
      <w:r>
        <w:rPr>
          <w:color w:val="6E6158"/>
          <w:spacing w:val="40"/>
        </w:rPr>
        <w:t> </w:t>
      </w:r>
      <w:r>
        <w:rPr>
          <w:color w:val="6E6158"/>
        </w:rPr>
        <w:t>manufacturers,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shipping</w:t>
      </w:r>
      <w:r>
        <w:rPr>
          <w:color w:val="6E6158"/>
          <w:spacing w:val="18"/>
        </w:rPr>
        <w:t> </w:t>
      </w:r>
      <w:r>
        <w:rPr>
          <w:color w:val="6E6158"/>
        </w:rPr>
        <w:t>companies.</w:t>
      </w:r>
      <w:r>
        <w:rPr>
          <w:color w:val="6E6158"/>
          <w:spacing w:val="18"/>
        </w:rPr>
        <w:t> </w:t>
      </w:r>
      <w:r>
        <w:rPr>
          <w:color w:val="6E6158"/>
        </w:rPr>
        <w:t>He</w:t>
      </w:r>
      <w:r>
        <w:rPr>
          <w:color w:val="6E6158"/>
          <w:spacing w:val="18"/>
        </w:rPr>
        <w:t> </w:t>
      </w:r>
      <w:r>
        <w:rPr>
          <w:color w:val="6E6158"/>
        </w:rPr>
        <w:t>brings</w:t>
      </w:r>
      <w:r>
        <w:rPr>
          <w:color w:val="6E6158"/>
          <w:spacing w:val="18"/>
        </w:rPr>
        <w:t> </w:t>
      </w:r>
      <w:r>
        <w:rPr>
          <w:color w:val="6E6158"/>
        </w:rPr>
        <w:t>substantial</w:t>
      </w:r>
      <w:r>
        <w:rPr>
          <w:color w:val="6E6158"/>
          <w:spacing w:val="18"/>
        </w:rPr>
        <w:t> </w:t>
      </w:r>
      <w:r>
        <w:rPr>
          <w:color w:val="6E6158"/>
        </w:rPr>
        <w:t>experience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firm’s</w:t>
      </w:r>
      <w:r>
        <w:rPr>
          <w:color w:val="6E6158"/>
          <w:spacing w:val="18"/>
        </w:rPr>
        <w:t> </w:t>
      </w:r>
      <w:r>
        <w:rPr>
          <w:color w:val="6E6158"/>
        </w:rPr>
        <w:t>well-established business litigation practice.</w:t>
      </w:r>
    </w:p>
    <w:p>
      <w:pPr>
        <w:pStyle w:val="BodyText"/>
        <w:spacing w:line="292" w:lineRule="auto" w:before="205"/>
        <w:ind w:left="99"/>
      </w:pPr>
      <w:r>
        <w:rPr>
          <w:color w:val="6E6158"/>
        </w:rPr>
        <w:t>Outside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work,</w:t>
      </w:r>
      <w:r>
        <w:rPr>
          <w:color w:val="6E6158"/>
          <w:spacing w:val="27"/>
        </w:rPr>
        <w:t> </w:t>
      </w:r>
      <w:r>
        <w:rPr>
          <w:color w:val="6E6158"/>
        </w:rPr>
        <w:t>you</w:t>
      </w:r>
      <w:r>
        <w:rPr>
          <w:color w:val="6E6158"/>
          <w:spacing w:val="27"/>
        </w:rPr>
        <w:t> </w:t>
      </w:r>
      <w:r>
        <w:rPr>
          <w:color w:val="6E6158"/>
        </w:rPr>
        <w:t>may</w:t>
      </w:r>
      <w:r>
        <w:rPr>
          <w:color w:val="6E6158"/>
          <w:spacing w:val="27"/>
        </w:rPr>
        <w:t> </w:t>
      </w:r>
      <w:r>
        <w:rPr>
          <w:color w:val="6E6158"/>
        </w:rPr>
        <w:t>find</w:t>
      </w:r>
      <w:r>
        <w:rPr>
          <w:color w:val="6E6158"/>
          <w:spacing w:val="27"/>
        </w:rPr>
        <w:t> </w:t>
      </w:r>
      <w:r>
        <w:rPr>
          <w:color w:val="6E6158"/>
        </w:rPr>
        <w:t>Marc</w:t>
      </w:r>
      <w:r>
        <w:rPr>
          <w:color w:val="6E6158"/>
          <w:spacing w:val="27"/>
        </w:rPr>
        <w:t> </w:t>
      </w:r>
      <w:r>
        <w:rPr>
          <w:color w:val="6E6158"/>
        </w:rPr>
        <w:t>backpacking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cross-country</w:t>
      </w:r>
      <w:r>
        <w:rPr>
          <w:color w:val="6E6158"/>
          <w:spacing w:val="27"/>
        </w:rPr>
        <w:t> </w:t>
      </w:r>
      <w:r>
        <w:rPr>
          <w:color w:val="6E6158"/>
        </w:rPr>
        <w:t>skiing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Sierra</w:t>
      </w:r>
      <w:r>
        <w:rPr>
          <w:color w:val="6E6158"/>
          <w:spacing w:val="27"/>
        </w:rPr>
        <w:t> </w:t>
      </w:r>
      <w:r>
        <w:rPr>
          <w:color w:val="6E6158"/>
        </w:rPr>
        <w:t>Nevada and the Trinity Alps, walking his 90lb hound at Fort Funston, or coaching the barbel lifts at his gym.</w:t>
      </w:r>
      <w:r>
        <w:rPr>
          <w:color w:val="6E6158"/>
          <w:spacing w:val="40"/>
        </w:rPr>
        <w:t> </w:t>
      </w:r>
      <w:r>
        <w:rPr>
          <w:color w:val="6E6158"/>
        </w:rPr>
        <w:t>Marc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wife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enjoy</w:t>
      </w:r>
      <w:r>
        <w:rPr>
          <w:color w:val="6E6158"/>
          <w:spacing w:val="27"/>
        </w:rPr>
        <w:t> </w:t>
      </w:r>
      <w:r>
        <w:rPr>
          <w:color w:val="6E6158"/>
        </w:rPr>
        <w:t>hiking,</w:t>
      </w:r>
      <w:r>
        <w:rPr>
          <w:color w:val="6E6158"/>
          <w:spacing w:val="27"/>
        </w:rPr>
        <w:t> </w:t>
      </w:r>
      <w:r>
        <w:rPr>
          <w:color w:val="6E6158"/>
        </w:rPr>
        <w:t>exploring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wine</w:t>
      </w:r>
      <w:r>
        <w:rPr>
          <w:color w:val="6E6158"/>
          <w:spacing w:val="27"/>
        </w:rPr>
        <w:t> </w:t>
      </w:r>
      <w:r>
        <w:rPr>
          <w:color w:val="6E6158"/>
        </w:rPr>
        <w:t>country,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travelling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Greece.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55"/>
        <w:ind w:left="351" w:right="34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243pt;width:1.65pt;height:1.65pt;mso-position-horizontal-relative:page;mso-position-vertical-relative:paragraph;z-index:15729152" id="docshape1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416318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987pt;width:1.65pt;height:1.65pt;mso-position-horizontal-relative:page;mso-position-vertical-relative:paragraph;z-index:15729664" id="docshape12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Hastings College of the </w:t>
      </w:r>
      <w:r>
        <w:rPr>
          <w:color w:val="6E6158"/>
        </w:rPr>
        <w:t>Law</w:t>
      </w:r>
      <w:r>
        <w:rPr>
          <w:color w:val="6E6158"/>
        </w:rPr>
        <w:t> M.A., University of California, Berkeley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63685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4633pt;width:1.65pt;height:1.65pt;mso-position-horizontal-relative:page;mso-position-vertical-relative:paragraph;z-index:15730176" id="docshape1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</w:rPr>
        <w:t>Santa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Barbara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157773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124pt;width:1.65pt;height:1.65pt;mso-position-horizontal-relative:page;mso-position-vertical-relative:paragraph;z-index:15730688" id="docshape14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8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245438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5891pt;width:1.65pt;height:1.65pt;mso-position-horizontal-relative:page;mso-position-vertical-relative:paragraph;z-index:15731200" id="docshape15" coordorigin="1670,387" coordsize="33,33" path="m1691,419l1682,419,1678,417,1671,411,1670,407,1670,398,1671,394,1678,388,1682,387,1691,387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“Take-Home Asbestos Exposure: Two Pending California Supreme Court </w:t>
      </w:r>
      <w:r>
        <w:rPr>
          <w:color w:val="6E6158"/>
        </w:rPr>
        <w:t>Cases,” Sedgwick, September 2016</w:t>
      </w:r>
    </w:p>
    <w:p>
      <w:pPr>
        <w:pStyle w:val="BodyText"/>
        <w:spacing w:line="302" w:lineRule="auto"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236178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722pt;width:1.65pt;height:1.65pt;mso-position-horizontal-relative:page;mso-position-vertical-relative:paragraph;z-index:15731712" id="docshape16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District Court Grants Summary Judgment based on Lack of </w:t>
      </w:r>
      <w:r>
        <w:rPr>
          <w:color w:val="6E6158"/>
        </w:rPr>
        <w:t>Evidence Supporting Claims for Asbestos Exposure,” Sedgwick, May 2015</w:t>
      </w:r>
    </w:p>
    <w:p>
      <w:pPr>
        <w:pStyle w:val="BodyText"/>
        <w:spacing w:line="292" w:lineRule="auto" w:before="11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223886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8887pt;width:1.65pt;height:1.65pt;mso-position-horizontal-relative:page;mso-position-vertical-relative:paragraph;z-index:15732224" id="docshape17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“Washington District Court Holds that CERCLA Displaces Federal Common Law </w:t>
      </w:r>
      <w:r>
        <w:rPr>
          <w:color w:val="6E6158"/>
        </w:rPr>
        <w:t>Public Nuisance Claims,” Sedgwick, February 2015</w:t>
      </w:r>
    </w:p>
    <w:p>
      <w:pPr>
        <w:pStyle w:val="BodyText"/>
        <w:spacing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143205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998pt;width:1.65pt;height:1.65pt;mso-position-horizontal-relative:page;mso-position-vertical-relative:paragraph;z-index:15732736" id="docshape18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“NY</w:t>
      </w:r>
      <w:r>
        <w:rPr>
          <w:color w:val="6E6158"/>
          <w:spacing w:val="10"/>
        </w:rPr>
        <w:t> </w:t>
      </w:r>
      <w:r>
        <w:rPr>
          <w:color w:val="6E6158"/>
        </w:rPr>
        <w:t>Lessees</w:t>
      </w:r>
      <w:r>
        <w:rPr>
          <w:color w:val="6E6158"/>
          <w:spacing w:val="11"/>
        </w:rPr>
        <w:t> </w:t>
      </w:r>
      <w:r>
        <w:rPr>
          <w:color w:val="6E6158"/>
        </w:rPr>
        <w:t>Are</w:t>
      </w:r>
      <w:r>
        <w:rPr>
          <w:color w:val="6E6158"/>
          <w:spacing w:val="10"/>
        </w:rPr>
        <w:t> </w:t>
      </w:r>
      <w:r>
        <w:rPr>
          <w:color w:val="6E6158"/>
        </w:rPr>
        <w:t>Not</w:t>
      </w:r>
      <w:r>
        <w:rPr>
          <w:color w:val="6E6158"/>
          <w:spacing w:val="11"/>
        </w:rPr>
        <w:t> </w:t>
      </w:r>
      <w:r>
        <w:rPr>
          <w:color w:val="6E6158"/>
        </w:rPr>
        <w:t>Liable</w:t>
      </w:r>
      <w:r>
        <w:rPr>
          <w:color w:val="6E6158"/>
          <w:spacing w:val="10"/>
        </w:rPr>
        <w:t> </w:t>
      </w:r>
      <w:r>
        <w:rPr>
          <w:color w:val="6E6158"/>
        </w:rPr>
        <w:t>Under</w:t>
      </w:r>
      <w:r>
        <w:rPr>
          <w:color w:val="6E6158"/>
          <w:spacing w:val="11"/>
        </w:rPr>
        <w:t> </w:t>
      </w:r>
      <w:r>
        <w:rPr>
          <w:color w:val="6E6158"/>
        </w:rPr>
        <w:t>CERCLA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Owners,”</w:t>
      </w:r>
      <w:r>
        <w:rPr>
          <w:color w:val="6E6158"/>
          <w:spacing w:val="10"/>
        </w:rPr>
        <w:t> </w:t>
      </w:r>
      <w:r>
        <w:rPr>
          <w:color w:val="6E6158"/>
        </w:rPr>
        <w:t>Law360,</w:t>
      </w:r>
      <w:r>
        <w:rPr>
          <w:color w:val="6E6158"/>
          <w:spacing w:val="11"/>
        </w:rPr>
        <w:t> </w:t>
      </w:r>
      <w:r>
        <w:rPr>
          <w:color w:val="6E6158"/>
        </w:rPr>
        <w:t>December</w:t>
      </w:r>
      <w:r>
        <w:rPr>
          <w:color w:val="6E6158"/>
          <w:spacing w:val="10"/>
        </w:rPr>
        <w:t> </w:t>
      </w:r>
      <w:r>
        <w:rPr>
          <w:color w:val="6E6158"/>
        </w:rPr>
        <w:t>18,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82"/>
        <w:ind w:left="351" w:right="6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267916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779pt;width:1.65pt;height:1.65pt;mso-position-horizontal-relative:page;mso-position-vertical-relative:paragraph;z-index:15733248" id="docshape19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“New York District Court Holds Lessee Not Liable Under CERCLA as an Owner,” Sedgwick, November 2014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351" w:right="6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3760" id="docshape2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“Texas Supreme Court Declines to Address Recovery for Stigma Damages in the Absence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a</w:t>
      </w:r>
      <w:r>
        <w:rPr>
          <w:color w:val="6E6158"/>
          <w:spacing w:val="36"/>
        </w:rPr>
        <w:t> </w:t>
      </w:r>
      <w:r>
        <w:rPr>
          <w:color w:val="6E6158"/>
        </w:rPr>
        <w:t>Permanent</w:t>
      </w:r>
      <w:r>
        <w:rPr>
          <w:color w:val="6E6158"/>
          <w:spacing w:val="36"/>
        </w:rPr>
        <w:t> </w:t>
      </w:r>
      <w:r>
        <w:rPr>
          <w:color w:val="6E6158"/>
        </w:rPr>
        <w:t>Physical</w:t>
      </w:r>
      <w:r>
        <w:rPr>
          <w:color w:val="6E6158"/>
          <w:spacing w:val="36"/>
        </w:rPr>
        <w:t> </w:t>
      </w:r>
      <w:r>
        <w:rPr>
          <w:color w:val="6E6158"/>
        </w:rPr>
        <w:t>jury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Property,”</w:t>
      </w:r>
      <w:r>
        <w:rPr>
          <w:color w:val="6E6158"/>
          <w:spacing w:val="36"/>
        </w:rPr>
        <w:t> </w:t>
      </w:r>
      <w:r>
        <w:rPr>
          <w:color w:val="6E6158"/>
        </w:rPr>
        <w:t>Sedgwick,</w:t>
      </w:r>
      <w:r>
        <w:rPr>
          <w:color w:val="6E6158"/>
          <w:spacing w:val="36"/>
        </w:rPr>
        <w:t> </w:t>
      </w:r>
      <w:r>
        <w:rPr>
          <w:color w:val="6E6158"/>
        </w:rPr>
        <w:t>September</w:t>
      </w:r>
      <w:r>
        <w:rPr>
          <w:color w:val="6E6158"/>
          <w:spacing w:val="36"/>
        </w:rPr>
        <w:t> </w:t>
      </w:r>
      <w:r>
        <w:rPr>
          <w:color w:val="6E6158"/>
        </w:rPr>
        <w:t>2014</w:t>
      </w:r>
    </w:p>
    <w:p>
      <w:pPr>
        <w:pStyle w:val="BodyText"/>
        <w:spacing w:line="292" w:lineRule="auto" w:before="132"/>
        <w:ind w:left="351" w:right="6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36pt;width:1.65pt;height:1.65pt;mso-position-horizontal-relative:page;mso-position-vertical-relative:paragraph;z-index:15734272" id="docshape2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“U.S. Court of Appeals Dismisses Almost All Claims of Ecuadorian Provinces </w:t>
      </w:r>
      <w:r>
        <w:rPr>
          <w:color w:val="6E6158"/>
        </w:rPr>
        <w:t>and Individual Plaintiffs Against DynCorp,” Sedgwick, June 2014</w:t>
      </w:r>
    </w:p>
    <w:p>
      <w:pPr>
        <w:pStyle w:val="BodyText"/>
        <w:spacing w:line="29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737pt;width:1.65pt;height:1.65pt;mso-position-horizontal-relative:page;mso-position-vertical-relative:paragraph;z-index:15734784" id="docshape22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“Ninth Circuit Upholds BLM’s Environmental Assessment Allowing Expansion of the Reid Gardner Generating Station,” Sedgwick, December 2013</w:t>
      </w:r>
    </w:p>
    <w:p>
      <w:pPr>
        <w:pStyle w:val="BodyText"/>
        <w:spacing w:line="292" w:lineRule="auto" w:before="131"/>
        <w:ind w:left="351" w:right="6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12pt;width:1.65pt;height:1.65pt;mso-position-horizontal-relative:page;mso-position-vertical-relative:paragraph;z-index:15735296" id="docshape2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Appellate Courts Impose Significant Limitations on Plaintiffs’ Claims </w:t>
      </w:r>
      <w:r>
        <w:rPr>
          <w:color w:val="6E6158"/>
        </w:rPr>
        <w:t>for Medical Damages,” Sedgwick, Spring 2013</w:t>
      </w:r>
    </w:p>
    <w:p>
      <w:pPr>
        <w:pStyle w:val="BodyText"/>
        <w:spacing w:line="292" w:lineRule="auto" w:before="124"/>
        <w:ind w:left="351" w:right="6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231095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31pt;width:1.65pt;height:1.65pt;mso-position-horizontal-relative:page;mso-position-vertical-relative:paragraph;z-index:15735808" id="docshape24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“Ninth Circuit Finds No Duty to Warn in Light of the State of the Art Regarding the Specific Risks of Taser Use,” Sedgwick, August 2012</w:t>
      </w:r>
    </w:p>
    <w:p>
      <w:pPr>
        <w:pStyle w:val="BodyText"/>
        <w:spacing w:line="292" w:lineRule="auto" w:before="131"/>
        <w:ind w:left="351" w:right="3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235806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41pt;width:1.65pt;height:1.65pt;mso-position-horizontal-relative:page;mso-position-vertical-relative:paragraph;z-index:15736320" id="docshape2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“Northern District of California Finds Disputed Oral Statements Made Off-The-</w:t>
      </w:r>
      <w:r>
        <w:rPr>
          <w:color w:val="6E6158"/>
        </w:rPr>
        <w:t>Record Do Not Trigger Removal,” Sedgwick, July 2012</w:t>
      </w:r>
    </w:p>
    <w:p>
      <w:pPr>
        <w:pStyle w:val="BodyText"/>
        <w:spacing w:line="292" w:lineRule="auto" w:before="123"/>
        <w:ind w:left="351" w:right="6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230903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339pt;width:1.65pt;height:1.65pt;mso-position-horizontal-relative:page;mso-position-vertical-relative:paragraph;z-index:15736832" id="docshape26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“Significant Rulings from the Deepwater Horizon Court on Discovery </w:t>
      </w:r>
      <w:r>
        <w:rPr>
          <w:color w:val="6E6158"/>
        </w:rPr>
        <w:t>and Evidentiary Matters,” Sedgwick, April 2012</w:t>
      </w:r>
    </w:p>
    <w:p>
      <w:pPr>
        <w:pStyle w:val="BodyText"/>
        <w:spacing w:line="292" w:lineRule="auto" w:before="132"/>
        <w:ind w:left="351" w:right="6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236247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186pt;width:1.65pt;height:1.65pt;mso-position-horizontal-relative:page;mso-position-vertical-relative:paragraph;z-index:15737344" id="docshape2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“US Supreme Court: State Law Claims Against Locomotive Manufacturers </w:t>
      </w:r>
      <w:r>
        <w:rPr>
          <w:color w:val="6E6158"/>
        </w:rPr>
        <w:t>Are Preempted by Federal Law,” Sedgwick, March 2012</w:t>
      </w:r>
    </w:p>
    <w:p>
      <w:pPr>
        <w:pStyle w:val="BodyText"/>
        <w:spacing w:line="30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235877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063pt;width:1.65pt;height:1.65pt;mso-position-horizontal-relative:page;mso-position-vertical-relative:paragraph;z-index:15737856" id="docshape2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Court of Appeal Finds Possible Liability Under Privette Doctrine of </w:t>
      </w:r>
      <w:r>
        <w:rPr>
          <w:color w:val="6E6158"/>
        </w:rPr>
        <w:t>Retained Control,” Sedgwick, February 2012</w:t>
      </w:r>
    </w:p>
    <w:p>
      <w:pPr>
        <w:pStyle w:val="Heading1"/>
        <w:spacing w:before="15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left="351" w:right="4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157874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048pt;width:1.65pt;height:1.65pt;mso-position-horizontal-relative:page;mso-position-vertical-relative:paragraph;z-index:15738368" id="docshape2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416239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769pt;width:1.65pt;height:1.65pt;mso-position-horizontal-relative:page;mso-position-vertical-relative:paragraph;z-index:15738880" id="docshape3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Alameda County Bar </w:t>
      </w:r>
      <w:r>
        <w:rPr>
          <w:color w:val="6E6158"/>
        </w:rPr>
        <w:t>Association Member, California Bar Association</w:t>
      </w:r>
    </w:p>
    <w:p>
      <w:pPr>
        <w:pStyle w:val="Heading1"/>
        <w:spacing w:before="159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158082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429pt;width:1.65pt;height:1.65pt;mso-position-horizontal-relative:page;mso-position-vertical-relative:paragraph;z-index:15739392" id="docshape31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170097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3491pt;width:1.65pt;height:1.65pt;mso-position-horizontal-relative:page;mso-position-vertical-relative:paragraph;z-index:15739904" id="docshape32" coordorigin="1670,268" coordsize="33,33" path="m1691,300l1682,300,1678,299,1671,292,1670,289,1670,280,1671,276,1678,269,1682,268,1691,268,1694,269,1701,276,1702,280,1702,284,1702,289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175213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6377pt;width:1.65pt;height:1.65pt;mso-position-horizontal-relative:page;mso-position-vertical-relative:paragraph;z-index:15740416" id="docshape33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North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Dakota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175163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439pt;width:1.65pt;height:1.65pt;mso-position-horizontal-relative:page;mso-position-vertical-relative:paragraph;z-index:15740928" id="docshape34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mbrainic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Brainich - Fennemore</dc:title>
  <dcterms:created xsi:type="dcterms:W3CDTF">2026-01-14T16:28:28Z</dcterms:created>
  <dcterms:modified xsi:type="dcterms:W3CDTF">2026-01-14T16:28:28Z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2026-01-14T00:00:00Z</vt:filetime>
  </property>
  <property fmtid="{D5CDD505-2E9C-101B-9397-08002B2CF9AE}" pid="5" name="Producer">
    <vt:lpwstr>Skia/PDF m142</vt:lpwstr>
  </property>
</Properties>
</file>