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728" w:right="708" w:hanging="12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plaintiffs,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counts.We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understand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pursue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matters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aggressively,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pace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cases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verdict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warranted.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5669" y="1585517"/>
                            <a:ext cx="507301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handle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types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alternative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contingent-fee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matters,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including plaintiff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matters,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probate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select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plaintiff personal injury 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10658" y="880542"/>
                            <a:ext cx="426339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Plaintiff Contingent-Fee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Litigation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728" w:right="708" w:hanging="12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plaintiffs,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counts.We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understand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pursue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matters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aggressively,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set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strong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pace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take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cases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verdict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warranted.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6;top:2496;width:7989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handle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types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alternative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contingent-fee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matters,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including plaintiff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matters,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probate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select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plaintiff personal injury matters.</w:t>
                        </w:r>
                      </w:p>
                    </w:txbxContent>
                  </v:textbox>
                  <w10:wrap type="none"/>
                </v:shape>
                <v:shape style="position:absolute;left:1434;top:1386;width:6714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Plaintiff Contingent-Fee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Litigation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856" w:right="293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-30848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PLAINTIFF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PERSONAL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INJURY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856" w:right="2936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Marc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H.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Lamber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602.916.5332</w:t>
      </w:r>
    </w:p>
    <w:p>
      <w:pPr>
        <w:spacing w:before="7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602.916.5532</w:t>
      </w:r>
    </w:p>
    <w:p>
      <w:pPr>
        <w:spacing w:line="266" w:lineRule="auto" w:before="16"/>
        <w:ind w:left="5856" w:right="2507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mlamber@fennemorel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CONTINGENCY</w:t>
      </w:r>
      <w:r>
        <w:rPr>
          <w:color w:val="FF8100"/>
          <w:spacing w:val="11"/>
        </w:rPr>
        <w:t> </w:t>
      </w:r>
      <w:r>
        <w:rPr>
          <w:color w:val="FF8100"/>
        </w:rPr>
        <w:t>FEE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line="297" w:lineRule="auto" w:before="147"/>
        <w:ind w:left="459" w:right="516"/>
      </w:pPr>
      <w:r>
        <w:rPr>
          <w:color w:val="6E6158"/>
        </w:rPr>
        <w:t>The cost of legal services can be a major concern after serious injury or financial loss. We boast a</w:t>
      </w:r>
      <w:r>
        <w:rPr>
          <w:color w:val="6E6158"/>
          <w:spacing w:val="40"/>
        </w:rPr>
        <w:t> </w:t>
      </w:r>
      <w:r>
        <w:rPr>
          <w:color w:val="6E6158"/>
        </w:rPr>
        <w:t>seasoned</w:t>
      </w:r>
      <w:r>
        <w:rPr>
          <w:color w:val="6E6158"/>
          <w:spacing w:val="28"/>
        </w:rPr>
        <w:t> </w:t>
      </w:r>
      <w:r>
        <w:rPr>
          <w:color w:val="6E6158"/>
        </w:rPr>
        <w:t>team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injury</w:t>
      </w:r>
      <w:r>
        <w:rPr>
          <w:color w:val="6E6158"/>
          <w:spacing w:val="28"/>
        </w:rPr>
        <w:t> </w:t>
      </w:r>
      <w:r>
        <w:rPr>
          <w:color w:val="6E6158"/>
        </w:rPr>
        <w:t>lawyers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commercial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attorneys</w:t>
      </w:r>
      <w:r>
        <w:rPr>
          <w:color w:val="6E6158"/>
          <w:spacing w:val="28"/>
        </w:rPr>
        <w:t> </w:t>
      </w:r>
      <w:r>
        <w:rPr>
          <w:color w:val="6E6158"/>
        </w:rPr>
        <w:t>you</w:t>
      </w:r>
      <w:r>
        <w:rPr>
          <w:color w:val="6E6158"/>
          <w:spacing w:val="28"/>
        </w:rPr>
        <w:t> </w:t>
      </w:r>
      <w:r>
        <w:rPr>
          <w:color w:val="6E6158"/>
        </w:rPr>
        <w:t>can</w:t>
      </w:r>
      <w:r>
        <w:rPr>
          <w:color w:val="6E6158"/>
          <w:spacing w:val="28"/>
        </w:rPr>
        <w:t> </w:t>
      </w:r>
      <w:r>
        <w:rPr>
          <w:color w:val="6E6158"/>
        </w:rPr>
        <w:t>hire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contingent fee basis.</w:t>
      </w:r>
    </w:p>
    <w:p>
      <w:pPr>
        <w:pStyle w:val="BodyText"/>
        <w:spacing w:line="292" w:lineRule="auto" w:before="191"/>
        <w:ind w:left="459" w:right="516"/>
      </w:pPr>
      <w:r>
        <w:rPr>
          <w:color w:val="6E6158"/>
        </w:rPr>
        <w:t>A contingent fee is simply a percentage of the recovery, paid at the conclusion of the case. If</w:t>
      </w:r>
      <w:r>
        <w:rPr>
          <w:color w:val="6E6158"/>
          <w:spacing w:val="40"/>
        </w:rPr>
        <w:t> </w:t>
      </w:r>
      <w:r>
        <w:rPr>
          <w:color w:val="6E6158"/>
        </w:rPr>
        <w:t>there is no recovery, there is no fee.</w:t>
      </w:r>
    </w:p>
    <w:p>
      <w:pPr>
        <w:pStyle w:val="Heading1"/>
        <w:spacing w:before="171"/>
      </w:pPr>
      <w:r>
        <w:rPr>
          <w:color w:val="FF8100"/>
        </w:rPr>
        <w:t>TYPES</w:t>
      </w:r>
      <w:r>
        <w:rPr>
          <w:color w:val="FF8100"/>
          <w:spacing w:val="8"/>
        </w:rPr>
        <w:t> </w:t>
      </w:r>
      <w:r>
        <w:rPr>
          <w:color w:val="FF8100"/>
        </w:rPr>
        <w:t>OF</w:t>
      </w:r>
      <w:r>
        <w:rPr>
          <w:color w:val="FF8100"/>
          <w:spacing w:val="8"/>
        </w:rPr>
        <w:t> </w:t>
      </w:r>
      <w:r>
        <w:rPr>
          <w:color w:val="FF8100"/>
        </w:rPr>
        <w:t>PERSONAL</w:t>
      </w:r>
      <w:r>
        <w:rPr>
          <w:color w:val="FF8100"/>
          <w:spacing w:val="9"/>
        </w:rPr>
        <w:t> </w:t>
      </w:r>
      <w:r>
        <w:rPr>
          <w:color w:val="FF8100"/>
        </w:rPr>
        <w:t>INJURY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left="459" w:right="516"/>
      </w:pPr>
      <w:r>
        <w:rPr>
          <w:color w:val="6E6158"/>
        </w:rPr>
        <w:t>Our plaintiffs’ personal injury attorneys handle most varieties of plaintiffs’ personal injury matters,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line="427" w:lineRule="auto" w:before="196"/>
        <w:ind w:right="73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189254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01948pt;width:1.65pt;height:1.65pt;mso-position-horizontal-relative:page;mso-position-vertical-relative:paragraph;z-index:15729664" id="docshape8" coordorigin="1670,298" coordsize="33,33" path="m1691,331l1682,331,1678,329,1671,323,1670,319,1670,310,1671,306,1678,300,1682,298,1691,298,1694,300,1701,306,1702,310,1702,314,1702,319,1701,323,1694,329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447620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45693pt;width:1.65pt;height:1.65pt;mso-position-horizontal-relative:page;mso-position-vertical-relative:paragraph;z-index:15730176" id="docshape9" coordorigin="1670,705" coordsize="33,33" path="m1691,737l1682,737,1678,736,1671,730,1670,726,1670,717,1671,713,1678,707,1682,705,1691,705,1694,707,1701,713,1702,717,1702,721,1702,726,1701,730,1694,736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Wrongful</w:t>
      </w:r>
      <w:r>
        <w:rPr>
          <w:color w:val="6E6158"/>
          <w:spacing w:val="-4"/>
        </w:rPr>
        <w:t> </w:t>
      </w:r>
      <w:r>
        <w:rPr>
          <w:color w:val="6E6158"/>
        </w:rPr>
        <w:t>death Serious injuries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54909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3605pt;width:1.65pt;height:1.65pt;mso-position-horizontal-relative:page;mso-position-vertical-relative:paragraph;z-index:15730688" id="docshape10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Brain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head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injury</w:t>
      </w:r>
    </w:p>
    <w:p>
      <w:pPr>
        <w:pStyle w:val="BodyText"/>
        <w:spacing w:after="0" w:line="226" w:lineRule="exact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420" w:lineRule="auto" w:before="83"/>
        <w:ind w:right="66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712" id="docshape1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Spinal cord </w:t>
      </w:r>
      <w:r>
        <w:rPr>
          <w:color w:val="6E6158"/>
        </w:rPr>
        <w:t>injury/paralysis </w:t>
      </w:r>
      <w:r>
        <w:rPr>
          <w:color w:val="6E6158"/>
          <w:spacing w:val="-2"/>
        </w:rPr>
        <w:t>Burns</w:t>
      </w:r>
    </w:p>
    <w:p>
      <w:pPr>
        <w:pStyle w:val="BodyText"/>
        <w:spacing w:line="420" w:lineRule="auto" w:before="7"/>
        <w:ind w:right="66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2224" id="docshape1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322254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336pt;width:1.65pt;height:1.65pt;mso-position-horizontal-relative:page;mso-position-vertical-relative:paragraph;z-index:15732736" id="docshape14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Fractures and </w:t>
      </w:r>
      <w:r>
        <w:rPr>
          <w:color w:val="6E6158"/>
        </w:rPr>
        <w:t>dislocations Car accidents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63601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72pt;width:1.65pt;height:1.65pt;mso-position-horizontal-relative:page;mso-position-vertical-relative:paragraph;z-index:15733248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Truck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accidents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175050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49pt;width:1.65pt;height:1.65pt;mso-position-horizontal-relative:page;mso-position-vertical-relative:paragraph;z-index:15733760" id="docshape16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Claims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government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175000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535pt;width:1.65pt;height:1.65pt;mso-position-horizontal-relative:page;mso-position-vertical-relative:paragraph;z-index:15734272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Police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enforcement</w:t>
      </w:r>
      <w:r>
        <w:rPr>
          <w:color w:val="6E6158"/>
          <w:spacing w:val="15"/>
        </w:rPr>
        <w:t> </w:t>
      </w:r>
      <w:r>
        <w:rPr>
          <w:color w:val="6E6158"/>
        </w:rPr>
        <w:t>misconduct,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police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pursuits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plaintiffs-personal-injury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marc-lamber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mlamb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Plaintiff Personal Injury - Fennemore</dc:title>
  <dcterms:created xsi:type="dcterms:W3CDTF">2026-01-22T11:27:28Z</dcterms:created>
  <dcterms:modified xsi:type="dcterms:W3CDTF">2026-01-22T11:27:28Z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