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56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4366895"/>
                <wp:effectExtent l="0" t="0" r="0" b="507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366895"/>
                          <a:chExt cx="6071870" cy="436689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6071591" cy="24699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268700"/>
                            <a:ext cx="6071870" cy="2470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2470150">
                                <a:moveTo>
                                  <a:pt x="6071591" y="2469975"/>
                                </a:moveTo>
                                <a:lnTo>
                                  <a:pt x="0" y="2469975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24699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>
                              <a:alpha val="8195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2738675"/>
                            <a:ext cx="6071870" cy="1628139"/>
                          </a:xfrm>
                          <a:prstGeom prst="rect">
                            <a:avLst/>
                          </a:prstGeom>
                          <a:solidFill>
                            <a:srgbClr val="002E6D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00"/>
                                <w:rPr>
                                  <w:rFonts w:ascii="Times New Roman"/>
                                  <w:color w:val="000000"/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48" w:lineRule="auto" w:before="1"/>
                                <w:ind w:left="1144" w:right="1137" w:firstLine="0"/>
                                <w:jc w:val="center"/>
                                <w:rPr>
                                  <w:color w:val="000000"/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Taxes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significant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expense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any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business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most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individuals,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tax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planning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should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afterthought.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strategically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addressing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tax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issues,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experienced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lawyers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partner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companies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individuals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identify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techniques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that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will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minimize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tax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liabilities.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tax practice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group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offers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team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extensive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experience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who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can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help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individuals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your business optimize its financial health.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533767" y="1585517"/>
                            <a:ext cx="5017135" cy="523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auto" w:before="7"/>
                                <w:ind w:left="0" w:right="18" w:firstLine="0"/>
                                <w:jc w:val="center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Our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tax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attorneys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committed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helping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clients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proactively</w:t>
                              </w:r>
                              <w:r>
                                <w:rPr>
                                  <w:color w:val="FFFFFF"/>
                                  <w:spacing w:val="-16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structure their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businesses,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transactions,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estate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plans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most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105"/>
                                  <w:sz w:val="22"/>
                                </w:rPr>
                                <w:t>tax-efficient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105"/>
                                  <w:sz w:val="22"/>
                                </w:rPr>
                                <w:t>manner.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2522536" y="880542"/>
                            <a:ext cx="1039494" cy="3263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51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Tax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2"/>
                                </w:rPr>
                                <w:t>Law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343.85pt;mso-position-horizontal-relative:char;mso-position-vertical-relative:line" id="docshapegroup1" coordorigin="0,0" coordsize="9562,6877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9562;height:3890" type="#_x0000_t75" id="docshape3" stroked="false">
                  <v:imagedata r:id="rId7" o:title=""/>
                </v:shape>
                <v:rect style="position:absolute;left:0;top:423;width:9562;height:3890" id="docshape4" filled="true" fillcolor="#262424" stroked="false">
                  <v:fill opacity="53713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4312;width:9562;height:2564" type="#_x0000_t202" id="docshape5" filled="true" fillcolor="#002e6d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00"/>
                          <w:rPr>
                            <w:rFonts w:ascii="Times New Roman"/>
                            <w:color w:val="000000"/>
                            <w:sz w:val="16"/>
                          </w:rPr>
                        </w:pPr>
                      </w:p>
                      <w:p>
                        <w:pPr>
                          <w:spacing w:line="348" w:lineRule="auto" w:before="1"/>
                          <w:ind w:left="1144" w:right="1137" w:firstLine="0"/>
                          <w:jc w:val="center"/>
                          <w:rPr>
                            <w:color w:val="000000"/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Taxes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significant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expense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any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business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most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individuals,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tax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planning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should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be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an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afterthought.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By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strategically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addressing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tax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issues,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experienced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lawyers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can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partner </w:t>
                        </w:r>
                        <w:r>
                          <w:rPr>
                            <w:color w:val="FFFFFF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companies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individuals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to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identify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techniques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that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will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minimize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tax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liabilities.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Our</w:t>
                        </w:r>
                        <w:r>
                          <w:rPr>
                            <w:color w:val="FFFFFF"/>
                            <w:spacing w:val="-10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tax practice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group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offers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team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with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extensive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experience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who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can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help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individuals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your business optimize its financial health.</w:t>
                        </w:r>
                      </w:p>
                    </w:txbxContent>
                  </v:textbox>
                  <v:fill type="solid"/>
                  <w10:wrap type="none"/>
                </v:shape>
                <v:shape style="position:absolute;left:840;top:2496;width:7901;height:825" type="#_x0000_t202" id="docshape6" filled="false" stroked="false">
                  <v:textbox inset="0,0,0,0">
                    <w:txbxContent>
                      <w:p>
                        <w:pPr>
                          <w:spacing w:line="242" w:lineRule="auto" w:before="7"/>
                          <w:ind w:left="0" w:right="18" w:firstLine="0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Our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tax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attorneys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are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committed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to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helping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clients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proactively</w:t>
                        </w:r>
                        <w:r>
                          <w:rPr>
                            <w:color w:val="FFFFFF"/>
                            <w:spacing w:val="-16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structure their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businesses,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transactions,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and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estate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plans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in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the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most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 </w:t>
                        </w:r>
                        <w:r>
                          <w:rPr>
                            <w:color w:val="FFFFFF"/>
                            <w:w w:val="105"/>
                            <w:sz w:val="22"/>
                          </w:rPr>
                          <w:t>tax-efficient </w:t>
                        </w:r>
                        <w:r>
                          <w:rPr>
                            <w:color w:val="FFFFFF"/>
                            <w:spacing w:val="-2"/>
                            <w:w w:val="105"/>
                            <w:sz w:val="22"/>
                          </w:rPr>
                          <w:t>manner.</w:t>
                        </w:r>
                      </w:p>
                    </w:txbxContent>
                  </v:textbox>
                  <w10:wrap type="none"/>
                </v:shape>
                <v:shape style="position:absolute;left:3972;top:1386;width:1637;height:514" type="#_x0000_t202" id="docshape7" filled="false" stroked="false">
                  <v:textbox inset="0,0,0,0">
                    <w:txbxContent>
                      <w:p>
                        <w:pPr>
                          <w:spacing w:line="512" w:lineRule="exact" w:before="0"/>
                          <w:ind w:left="0" w:right="0" w:firstLine="0"/>
                          <w:jc w:val="left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Tax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2"/>
                          </w:rPr>
                          <w:t>Law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2"/>
        <w:rPr>
          <w:rFonts w:ascii="Times New Roman"/>
          <w:sz w:val="7"/>
        </w:rPr>
      </w:pPr>
    </w:p>
    <w:p>
      <w:pPr>
        <w:pStyle w:val="BodyText"/>
        <w:spacing w:after="0"/>
        <w:rPr>
          <w:rFonts w:ascii="Times New Roman"/>
          <w:sz w:val="7"/>
        </w:rPr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rPr>
          <w:rFonts w:ascii="Times New Roman"/>
          <w:sz w:val="16"/>
        </w:rPr>
      </w:pPr>
    </w:p>
    <w:p>
      <w:pPr>
        <w:pStyle w:val="BodyText"/>
        <w:spacing w:before="158"/>
        <w:rPr>
          <w:rFonts w:ascii="Times New Roman"/>
          <w:sz w:val="16"/>
        </w:rPr>
      </w:pPr>
    </w:p>
    <w:p>
      <w:pPr>
        <w:spacing w:before="0"/>
        <w:ind w:left="3527" w:right="0" w:firstLine="0"/>
        <w:jc w:val="left"/>
        <w:rPr>
          <w:sz w:val="16"/>
        </w:rPr>
      </w:pPr>
      <w:r>
        <w:rPr>
          <w:sz w:val="16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1313545</wp:posOffset>
            </wp:positionH>
            <wp:positionV relativeFrom="paragraph">
              <wp:posOffset>-21452</wp:posOffset>
            </wp:positionV>
            <wp:extent cx="1395174" cy="1395174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9">
        <w:r>
          <w:rPr>
            <w:spacing w:val="-2"/>
            <w:sz w:val="16"/>
          </w:rPr>
          <w:t>TAX</w:t>
        </w:r>
        <w:r>
          <w:rPr>
            <w:spacing w:val="-6"/>
            <w:sz w:val="16"/>
          </w:rPr>
          <w:t> </w:t>
        </w:r>
        <w:r>
          <w:rPr>
            <w:spacing w:val="-5"/>
            <w:sz w:val="16"/>
          </w:rPr>
          <w:t>LAW</w:t>
        </w:r>
      </w:hyperlink>
    </w:p>
    <w:p>
      <w:pPr>
        <w:pStyle w:val="BodyText"/>
        <w:spacing w:before="45"/>
        <w:rPr>
          <w:sz w:val="16"/>
        </w:rPr>
      </w:pPr>
    </w:p>
    <w:p>
      <w:pPr>
        <w:spacing w:line="218" w:lineRule="auto" w:before="1"/>
        <w:ind w:left="3527" w:right="0" w:firstLine="0"/>
        <w:jc w:val="left"/>
        <w:rPr>
          <w:sz w:val="16"/>
        </w:rPr>
      </w:pP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pStyle w:val="Heading2"/>
      </w:pPr>
      <w:r>
        <w:rPr>
          <w:b w:val="0"/>
        </w:rPr>
        <w:br w:type="column"/>
      </w:r>
      <w:r>
        <w:rPr>
          <w:color w:val="002E6B"/>
          <w:spacing w:val="-2"/>
        </w:rPr>
        <w:t>LEADERSHIP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pStyle w:val="BodyText"/>
        <w:rPr>
          <w:b/>
          <w:sz w:val="16"/>
        </w:rPr>
      </w:pPr>
    </w:p>
    <w:p>
      <w:pPr>
        <w:pStyle w:val="BodyText"/>
        <w:spacing w:before="40"/>
        <w:rPr>
          <w:b/>
          <w:sz w:val="16"/>
        </w:rPr>
      </w:pPr>
    </w:p>
    <w:p>
      <w:pPr>
        <w:spacing w:before="0"/>
        <w:ind w:left="297" w:right="0" w:firstLine="0"/>
        <w:jc w:val="left"/>
        <w:rPr>
          <w:sz w:val="16"/>
        </w:rPr>
      </w:pPr>
      <w:hyperlink r:id="rId9">
        <w:r>
          <w:rPr>
            <w:spacing w:val="-2"/>
            <w:sz w:val="16"/>
          </w:rPr>
          <w:t>TAX</w:t>
        </w:r>
        <w:r>
          <w:rPr>
            <w:spacing w:val="-6"/>
            <w:sz w:val="16"/>
          </w:rPr>
          <w:t> </w:t>
        </w:r>
        <w:r>
          <w:rPr>
            <w:spacing w:val="-5"/>
            <w:sz w:val="16"/>
          </w:rPr>
          <w:t>LAW</w:t>
        </w:r>
      </w:hyperlink>
    </w:p>
    <w:p>
      <w:pPr>
        <w:pStyle w:val="BodyText"/>
        <w:spacing w:before="45"/>
        <w:rPr>
          <w:sz w:val="16"/>
        </w:rPr>
      </w:pPr>
    </w:p>
    <w:p>
      <w:pPr>
        <w:spacing w:line="218" w:lineRule="auto" w:before="1"/>
        <w:ind w:left="297" w:right="655" w:firstLine="0"/>
        <w:jc w:val="left"/>
        <w:rPr>
          <w:sz w:val="16"/>
        </w:rPr>
      </w:pPr>
      <w:hyperlink r:id="rId10">
        <w:r>
          <w:rPr>
            <w:sz w:val="16"/>
          </w:rPr>
          <w:t>BUSINESS</w:t>
        </w:r>
        <w:r>
          <w:rPr>
            <w:spacing w:val="-12"/>
            <w:sz w:val="16"/>
          </w:rPr>
          <w:t> </w:t>
        </w:r>
        <w:r>
          <w:rPr>
            <w:sz w:val="16"/>
          </w:rPr>
          <w:t>&amp;</w:t>
        </w:r>
      </w:hyperlink>
      <w:r>
        <w:rPr>
          <w:sz w:val="16"/>
        </w:rPr>
        <w:t> </w:t>
      </w:r>
      <w:hyperlink r:id="rId10">
        <w:r>
          <w:rPr>
            <w:spacing w:val="-2"/>
            <w:sz w:val="16"/>
          </w:rPr>
          <w:t>FINANCE</w:t>
        </w:r>
      </w:hyperlink>
    </w:p>
    <w:p>
      <w:pPr>
        <w:spacing w:after="0" w:line="218" w:lineRule="auto"/>
        <w:jc w:val="left"/>
        <w:rPr>
          <w:sz w:val="16"/>
        </w:rPr>
        <w:sectPr>
          <w:type w:val="continuous"/>
          <w:pgSz w:w="12240" w:h="15840"/>
          <w:pgMar w:top="560" w:bottom="280" w:left="1080" w:right="1080"/>
          <w:cols w:num="3" w:equalWidth="0">
            <w:col w:w="4384" w:space="40"/>
            <w:col w:w="3426" w:space="39"/>
            <w:col w:w="2191"/>
          </w:cols>
        </w:sectPr>
      </w:pPr>
    </w:p>
    <w:p>
      <w:pPr>
        <w:pStyle w:val="BodyText"/>
        <w:spacing w:before="26"/>
        <w:rPr>
          <w:sz w:val="16"/>
        </w:rPr>
      </w:pPr>
    </w:p>
    <w:p>
      <w:pPr>
        <w:spacing w:line="191" w:lineRule="exact" w:before="0"/>
        <w:ind w:left="3527" w:right="0" w:firstLine="0"/>
        <w:jc w:val="left"/>
        <w:rPr>
          <w:b/>
          <w:sz w:val="16"/>
        </w:rPr>
      </w:pPr>
      <w:r>
        <w:rPr>
          <w:b/>
          <w:sz w:val="16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4274415</wp:posOffset>
            </wp:positionH>
            <wp:positionV relativeFrom="paragraph">
              <wp:posOffset>-719269</wp:posOffset>
            </wp:positionV>
            <wp:extent cx="1395174" cy="1395174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5174" cy="1395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2">
        <w:r>
          <w:rPr>
            <w:b/>
            <w:sz w:val="16"/>
          </w:rPr>
          <w:t>Belan</w:t>
        </w:r>
        <w:r>
          <w:rPr>
            <w:b/>
            <w:spacing w:val="2"/>
            <w:sz w:val="16"/>
          </w:rPr>
          <w:t> </w:t>
        </w:r>
        <w:r>
          <w:rPr>
            <w:b/>
            <w:sz w:val="16"/>
          </w:rPr>
          <w:t>K.</w:t>
        </w:r>
        <w:r>
          <w:rPr>
            <w:b/>
            <w:spacing w:val="3"/>
            <w:sz w:val="16"/>
          </w:rPr>
          <w:t> </w:t>
        </w:r>
        <w:r>
          <w:rPr>
            <w:b/>
            <w:spacing w:val="-2"/>
            <w:sz w:val="16"/>
          </w:rPr>
          <w:t>Wagner</w:t>
        </w:r>
      </w:hyperlink>
    </w:p>
    <w:p>
      <w:pPr>
        <w:spacing w:line="142" w:lineRule="exact" w:before="0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Co-</w:t>
      </w:r>
      <w:r>
        <w:rPr>
          <w:color w:val="6E6158"/>
          <w:spacing w:val="-2"/>
          <w:sz w:val="12"/>
        </w:rPr>
        <w:t>Chair</w:t>
      </w:r>
    </w:p>
    <w:p>
      <w:pPr>
        <w:spacing w:before="73"/>
        <w:ind w:left="3527" w:right="0" w:firstLine="0"/>
        <w:jc w:val="left"/>
        <w:rPr>
          <w:b/>
          <w:sz w:val="12"/>
        </w:rPr>
      </w:pPr>
      <w:hyperlink r:id="rId13">
        <w:r>
          <w:rPr>
            <w:b/>
            <w:spacing w:val="-2"/>
            <w:sz w:val="12"/>
          </w:rPr>
          <w:t>Sacramento</w:t>
        </w:r>
      </w:hyperlink>
    </w:p>
    <w:p>
      <w:pPr>
        <w:spacing w:before="15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916.920.5286</w:t>
      </w:r>
    </w:p>
    <w:p>
      <w:pPr>
        <w:spacing w:before="8"/>
        <w:ind w:left="352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916.920.5286</w:t>
      </w:r>
    </w:p>
    <w:p>
      <w:pPr>
        <w:spacing w:line="266" w:lineRule="auto" w:before="15"/>
        <w:ind w:left="3527" w:right="2601" w:firstLine="0"/>
        <w:jc w:val="left"/>
        <w:rPr>
          <w:sz w:val="12"/>
        </w:rPr>
      </w:pPr>
      <w:hyperlink r:id="rId14">
        <w:r>
          <w:rPr>
            <w:color w:val="002E6B"/>
            <w:spacing w:val="-2"/>
            <w:sz w:val="12"/>
            <w:u w:val="single" w:color="002E6B"/>
          </w:rPr>
          <w:t>bwagner@fennemorel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4">
        <w:r>
          <w:rPr>
            <w:color w:val="002E6B"/>
            <w:spacing w:val="-2"/>
            <w:sz w:val="12"/>
            <w:u w:val="single" w:color="002E6B"/>
          </w:rPr>
          <w:t>aw.com</w:t>
        </w:r>
      </w:hyperlink>
    </w:p>
    <w:p>
      <w:pPr>
        <w:spacing w:line="199" w:lineRule="auto" w:before="168"/>
        <w:ind w:left="297" w:right="655" w:firstLine="0"/>
        <w:jc w:val="left"/>
        <w:rPr>
          <w:b/>
          <w:sz w:val="16"/>
        </w:rPr>
      </w:pPr>
      <w:r>
        <w:rPr/>
        <w:br w:type="column"/>
      </w:r>
      <w:hyperlink r:id="rId15">
        <w:r>
          <w:rPr>
            <w:b/>
            <w:sz w:val="16"/>
          </w:rPr>
          <w:t>Stephen</w:t>
        </w:r>
        <w:r>
          <w:rPr>
            <w:b/>
            <w:spacing w:val="-12"/>
            <w:sz w:val="16"/>
          </w:rPr>
          <w:t> </w:t>
        </w:r>
        <w:r>
          <w:rPr>
            <w:b/>
            <w:sz w:val="16"/>
          </w:rPr>
          <w:t>A.</w:t>
        </w:r>
      </w:hyperlink>
      <w:r>
        <w:rPr>
          <w:b/>
          <w:sz w:val="16"/>
        </w:rPr>
        <w:t> </w:t>
      </w:r>
      <w:hyperlink r:id="rId15">
        <w:r>
          <w:rPr>
            <w:b/>
            <w:spacing w:val="-4"/>
            <w:sz w:val="16"/>
          </w:rPr>
          <w:t>Good</w:t>
        </w:r>
      </w:hyperlink>
    </w:p>
    <w:p>
      <w:pPr>
        <w:spacing w:line="144" w:lineRule="exact" w:before="0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Co-</w:t>
      </w:r>
      <w:r>
        <w:rPr>
          <w:color w:val="6E6158"/>
          <w:spacing w:val="-2"/>
          <w:sz w:val="12"/>
        </w:rPr>
        <w:t>Chair</w:t>
      </w:r>
    </w:p>
    <w:p>
      <w:pPr>
        <w:spacing w:before="73"/>
        <w:ind w:left="297" w:right="0" w:firstLine="0"/>
        <w:jc w:val="left"/>
        <w:rPr>
          <w:b/>
          <w:sz w:val="12"/>
        </w:rPr>
      </w:pPr>
      <w:hyperlink r:id="rId16">
        <w:r>
          <w:rPr>
            <w:b/>
            <w:spacing w:val="-2"/>
            <w:sz w:val="12"/>
          </w:rPr>
          <w:t>Phoenix</w:t>
        </w:r>
      </w:hyperlink>
    </w:p>
    <w:p>
      <w:pPr>
        <w:spacing w:before="15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PH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602.916.5395</w:t>
      </w:r>
    </w:p>
    <w:p>
      <w:pPr>
        <w:spacing w:before="8"/>
        <w:ind w:left="297" w:right="0" w:firstLine="0"/>
        <w:jc w:val="left"/>
        <w:rPr>
          <w:sz w:val="12"/>
        </w:rPr>
      </w:pPr>
      <w:r>
        <w:rPr>
          <w:color w:val="6E6158"/>
          <w:sz w:val="12"/>
        </w:rPr>
        <w:t>FX</w:t>
      </w:r>
      <w:r>
        <w:rPr>
          <w:color w:val="6E6158"/>
          <w:spacing w:val="1"/>
          <w:sz w:val="12"/>
        </w:rPr>
        <w:t> </w:t>
      </w:r>
      <w:r>
        <w:rPr>
          <w:spacing w:val="-2"/>
          <w:sz w:val="12"/>
        </w:rPr>
        <w:t>602.916.5595</w:t>
      </w:r>
    </w:p>
    <w:p>
      <w:pPr>
        <w:spacing w:line="266" w:lineRule="auto" w:before="15"/>
        <w:ind w:left="297" w:right="655" w:firstLine="0"/>
        <w:jc w:val="left"/>
        <w:rPr>
          <w:sz w:val="12"/>
        </w:rPr>
      </w:pPr>
      <w:hyperlink r:id="rId17">
        <w:r>
          <w:rPr>
            <w:color w:val="002E6B"/>
            <w:spacing w:val="-2"/>
            <w:sz w:val="12"/>
            <w:u w:val="single" w:color="002E6B"/>
          </w:rPr>
          <w:t>sgood@fennemorela</w:t>
        </w:r>
      </w:hyperlink>
      <w:r>
        <w:rPr>
          <w:color w:val="002E6B"/>
          <w:spacing w:val="40"/>
          <w:sz w:val="12"/>
          <w:u w:val="none"/>
        </w:rPr>
        <w:t> </w:t>
      </w:r>
      <w:hyperlink r:id="rId17">
        <w:r>
          <w:rPr>
            <w:color w:val="002E6B"/>
            <w:spacing w:val="-2"/>
            <w:sz w:val="12"/>
            <w:u w:val="single" w:color="002E6B"/>
          </w:rPr>
          <w:t>w.com</w:t>
        </w:r>
      </w:hyperlink>
    </w:p>
    <w:p>
      <w:pPr>
        <w:spacing w:after="0" w:line="266" w:lineRule="auto"/>
        <w:jc w:val="left"/>
        <w:rPr>
          <w:sz w:val="12"/>
        </w:rPr>
        <w:sectPr>
          <w:type w:val="continuous"/>
          <w:pgSz w:w="12240" w:h="15840"/>
          <w:pgMar w:top="560" w:bottom="280" w:left="1080" w:right="1080"/>
          <w:cols w:num="2" w:equalWidth="0">
            <w:col w:w="7849" w:space="40"/>
            <w:col w:w="2191"/>
          </w:cols>
        </w:sectPr>
      </w:pPr>
    </w:p>
    <w:p>
      <w:pPr>
        <w:pStyle w:val="BodyText"/>
        <w:spacing w:before="260"/>
        <w:rPr>
          <w:sz w:val="24"/>
        </w:rPr>
      </w:pPr>
    </w:p>
    <w:p>
      <w:pPr>
        <w:pStyle w:val="Heading1"/>
      </w:pPr>
      <w:r>
        <w:rPr>
          <w:color w:val="FF8100"/>
        </w:rPr>
        <w:t>OUR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EXPERIENCE</w:t>
      </w:r>
    </w:p>
    <w:p>
      <w:pPr>
        <w:pStyle w:val="BodyText"/>
        <w:spacing w:line="302" w:lineRule="auto" w:before="146"/>
        <w:ind w:left="459" w:right="583"/>
      </w:pPr>
      <w:r>
        <w:rPr>
          <w:color w:val="6E6158"/>
        </w:rPr>
        <w:t>Our team of tax attorneys works on sophisticated tax matters for clients in an efficient, proactive</w:t>
      </w:r>
      <w:r>
        <w:rPr>
          <w:color w:val="6E6158"/>
          <w:spacing w:val="40"/>
        </w:rPr>
        <w:t> </w:t>
      </w:r>
      <w:r>
        <w:rPr>
          <w:color w:val="6E6158"/>
        </w:rPr>
        <w:t>manner.</w:t>
      </w:r>
      <w:r>
        <w:rPr>
          <w:color w:val="6E6158"/>
          <w:spacing w:val="34"/>
        </w:rPr>
        <w:t> </w:t>
      </w:r>
      <w:r>
        <w:rPr>
          <w:color w:val="6E6158"/>
        </w:rPr>
        <w:t>The</w:t>
      </w:r>
      <w:r>
        <w:rPr>
          <w:color w:val="6E6158"/>
          <w:spacing w:val="34"/>
        </w:rPr>
        <w:t> </w:t>
      </w:r>
      <w:r>
        <w:rPr>
          <w:color w:val="6E6158"/>
        </w:rPr>
        <w:t>group</w:t>
      </w:r>
      <w:r>
        <w:rPr>
          <w:color w:val="6E6158"/>
          <w:spacing w:val="34"/>
        </w:rPr>
        <w:t> </w:t>
      </w:r>
      <w:r>
        <w:rPr>
          <w:color w:val="6E6158"/>
        </w:rPr>
        <w:t>frequently</w:t>
      </w:r>
      <w:r>
        <w:rPr>
          <w:color w:val="6E6158"/>
          <w:spacing w:val="34"/>
        </w:rPr>
        <w:t> </w:t>
      </w:r>
      <w:r>
        <w:rPr>
          <w:color w:val="6E6158"/>
        </w:rPr>
        <w:t>works</w:t>
      </w:r>
      <w:r>
        <w:rPr>
          <w:color w:val="6E6158"/>
          <w:spacing w:val="34"/>
        </w:rPr>
        <w:t> </w:t>
      </w:r>
      <w:r>
        <w:rPr>
          <w:color w:val="6E6158"/>
        </w:rPr>
        <w:t>alongside</w:t>
      </w:r>
      <w:r>
        <w:rPr>
          <w:color w:val="6E6158"/>
          <w:spacing w:val="34"/>
        </w:rPr>
        <w:t> </w:t>
      </w:r>
      <w:r>
        <w:rPr>
          <w:color w:val="6E6158"/>
        </w:rPr>
        <w:t>outside</w:t>
      </w:r>
      <w:r>
        <w:rPr>
          <w:color w:val="6E6158"/>
          <w:spacing w:val="34"/>
        </w:rPr>
        <w:t> </w:t>
      </w:r>
      <w:r>
        <w:rPr>
          <w:color w:val="6E6158"/>
        </w:rPr>
        <w:t>advisors</w:t>
      </w:r>
      <w:r>
        <w:rPr>
          <w:color w:val="6E6158"/>
          <w:spacing w:val="34"/>
        </w:rPr>
        <w:t> </w:t>
      </w:r>
      <w:r>
        <w:rPr>
          <w:color w:val="6E6158"/>
        </w:rPr>
        <w:t>such</w:t>
      </w:r>
      <w:r>
        <w:rPr>
          <w:color w:val="6E6158"/>
          <w:spacing w:val="34"/>
        </w:rPr>
        <w:t> </w:t>
      </w:r>
      <w:r>
        <w:rPr>
          <w:color w:val="6E6158"/>
        </w:rPr>
        <w:t>as</w:t>
      </w:r>
      <w:r>
        <w:rPr>
          <w:color w:val="6E6158"/>
          <w:spacing w:val="34"/>
        </w:rPr>
        <w:t> </w:t>
      </w:r>
      <w:r>
        <w:rPr>
          <w:color w:val="6E6158"/>
        </w:rPr>
        <w:t>accountants,</w:t>
      </w:r>
      <w:r>
        <w:rPr>
          <w:color w:val="6E6158"/>
          <w:spacing w:val="34"/>
        </w:rPr>
        <w:t> </w:t>
      </w:r>
      <w:r>
        <w:rPr>
          <w:color w:val="6E6158"/>
        </w:rPr>
        <w:t>financial</w:t>
      </w:r>
    </w:p>
    <w:p>
      <w:pPr>
        <w:pStyle w:val="BodyText"/>
        <w:spacing w:line="292" w:lineRule="auto"/>
        <w:ind w:left="459" w:right="583"/>
      </w:pPr>
      <w:r>
        <w:rPr>
          <w:color w:val="6E6158"/>
        </w:rPr>
        <w:t>planners, as well as other groups within the firm to offer clients comprehensive tax planning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services.</w:t>
      </w:r>
    </w:p>
    <w:p>
      <w:pPr>
        <w:pStyle w:val="BodyText"/>
        <w:spacing w:line="297" w:lineRule="auto" w:before="188"/>
        <w:ind w:left="459" w:right="583"/>
      </w:pPr>
      <w:r>
        <w:rPr>
          <w:color w:val="6E6158"/>
        </w:rPr>
        <w:t>Our experienced professionals include attorneys that have completed both a professional law</w:t>
      </w:r>
      <w:r>
        <w:rPr>
          <w:color w:val="6E6158"/>
          <w:spacing w:val="40"/>
        </w:rPr>
        <w:t> </w:t>
      </w:r>
      <w:r>
        <w:rPr>
          <w:color w:val="6E6158"/>
        </w:rPr>
        <w:t>education earning their Juris Doctor (J.D.) as well as an additional Master of Laws in Taxation</w:t>
      </w:r>
      <w:r>
        <w:rPr>
          <w:color w:val="6E6158"/>
          <w:spacing w:val="40"/>
        </w:rPr>
        <w:t> </w:t>
      </w:r>
      <w:r>
        <w:rPr>
          <w:color w:val="6E6158"/>
        </w:rPr>
        <w:t>program (Tax LLM) or other advanced tax degree such as an MS in Taxation.</w:t>
      </w:r>
      <w:r>
        <w:rPr>
          <w:color w:val="6E6158"/>
          <w:spacing w:val="80"/>
        </w:rPr>
        <w:t> </w:t>
      </w:r>
      <w:r>
        <w:rPr>
          <w:color w:val="6E6158"/>
        </w:rPr>
        <w:t>Additionally, we have attorneys that are also Certified Public Accountants (CPAs) and thus able to skillfully advise</w:t>
      </w:r>
      <w:r>
        <w:rPr>
          <w:color w:val="6E6158"/>
          <w:spacing w:val="40"/>
        </w:rPr>
        <w:t> </w:t>
      </w:r>
      <w:r>
        <w:rPr>
          <w:color w:val="6E6158"/>
        </w:rPr>
        <w:t>businesses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tax</w:t>
      </w:r>
      <w:r>
        <w:rPr>
          <w:color w:val="6E6158"/>
          <w:spacing w:val="37"/>
        </w:rPr>
        <w:t> </w:t>
      </w:r>
      <w:r>
        <w:rPr>
          <w:color w:val="6E6158"/>
        </w:rPr>
        <w:t>preparers.</w:t>
      </w:r>
      <w:r>
        <w:rPr>
          <w:color w:val="6E6158"/>
          <w:spacing w:val="37"/>
        </w:rPr>
        <w:t> </w:t>
      </w:r>
      <w:r>
        <w:rPr>
          <w:color w:val="6E6158"/>
        </w:rPr>
        <w:t>Other</w:t>
      </w:r>
      <w:r>
        <w:rPr>
          <w:color w:val="6E6158"/>
          <w:spacing w:val="37"/>
        </w:rPr>
        <w:t> </w:t>
      </w:r>
      <w:r>
        <w:rPr>
          <w:color w:val="6E6158"/>
        </w:rPr>
        <w:t>credentials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memberships</w:t>
      </w:r>
      <w:r>
        <w:rPr>
          <w:color w:val="6E6158"/>
          <w:spacing w:val="37"/>
        </w:rPr>
        <w:t> </w:t>
      </w:r>
      <w:r>
        <w:rPr>
          <w:color w:val="6E6158"/>
        </w:rPr>
        <w:t>include,</w:t>
      </w:r>
      <w:r>
        <w:rPr>
          <w:color w:val="6E6158"/>
          <w:spacing w:val="37"/>
        </w:rPr>
        <w:t> </w:t>
      </w:r>
      <w:r>
        <w:rPr>
          <w:color w:val="6E6158"/>
        </w:rPr>
        <w:t>present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/>
        <w:ind w:left="459" w:right="552"/>
      </w:pPr>
      <w:r>
        <w:rPr>
          <w:color w:val="6E6158"/>
        </w:rPr>
        <w:t>historically: adjunct professors; authors, lecturers, and presenters at national tax conferences;</w:t>
      </w:r>
      <w:r>
        <w:rPr>
          <w:color w:val="6E6158"/>
          <w:spacing w:val="40"/>
        </w:rPr>
        <w:t> </w:t>
      </w:r>
      <w:r>
        <w:rPr>
          <w:color w:val="6E6158"/>
        </w:rPr>
        <w:t>Chairs of the State Bar of California Executive Committee of the Taxation Section; CalCPA Real</w:t>
      </w:r>
      <w:r>
        <w:rPr>
          <w:color w:val="6E6158"/>
          <w:spacing w:val="40"/>
        </w:rPr>
        <w:t> </w:t>
      </w:r>
      <w:r>
        <w:rPr>
          <w:color w:val="6E6158"/>
        </w:rPr>
        <w:t>Estate</w:t>
      </w:r>
      <w:r>
        <w:rPr>
          <w:color w:val="6E6158"/>
          <w:spacing w:val="14"/>
        </w:rPr>
        <w:t> </w:t>
      </w:r>
      <w:r>
        <w:rPr>
          <w:color w:val="6E6158"/>
        </w:rPr>
        <w:t>Committee</w:t>
      </w:r>
      <w:r>
        <w:rPr>
          <w:color w:val="6E6158"/>
          <w:spacing w:val="14"/>
        </w:rPr>
        <w:t> </w:t>
      </w:r>
      <w:r>
        <w:rPr>
          <w:color w:val="6E6158"/>
        </w:rPr>
        <w:t>Chair;</w:t>
      </w:r>
      <w:r>
        <w:rPr>
          <w:color w:val="6E6158"/>
          <w:spacing w:val="14"/>
        </w:rPr>
        <w:t> </w:t>
      </w:r>
      <w:r>
        <w:rPr>
          <w:color w:val="6E6158"/>
        </w:rPr>
        <w:t>American</w:t>
      </w:r>
      <w:r>
        <w:rPr>
          <w:color w:val="6E6158"/>
          <w:spacing w:val="14"/>
        </w:rPr>
        <w:t> </w:t>
      </w:r>
      <w:r>
        <w:rPr>
          <w:color w:val="6E6158"/>
        </w:rPr>
        <w:t>College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Trusts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Estates</w:t>
      </w:r>
      <w:r>
        <w:rPr>
          <w:color w:val="6E6158"/>
          <w:spacing w:val="14"/>
        </w:rPr>
        <w:t> </w:t>
      </w:r>
      <w:r>
        <w:rPr>
          <w:color w:val="6E6158"/>
        </w:rPr>
        <w:t>Counsel</w:t>
      </w:r>
      <w:r>
        <w:rPr>
          <w:color w:val="6E6158"/>
          <w:spacing w:val="14"/>
        </w:rPr>
        <w:t> </w:t>
      </w:r>
      <w:r>
        <w:rPr>
          <w:color w:val="6E6158"/>
        </w:rPr>
        <w:t>Fellow</w:t>
      </w:r>
      <w:r>
        <w:rPr>
          <w:color w:val="6E6158"/>
          <w:spacing w:val="14"/>
        </w:rPr>
        <w:t> </w:t>
      </w:r>
      <w:r>
        <w:rPr>
          <w:color w:val="6E6158"/>
        </w:rPr>
        <w:t>(ACTEC)</w:t>
      </w:r>
      <w:r>
        <w:rPr>
          <w:color w:val="6E6158"/>
          <w:spacing w:val="14"/>
        </w:rPr>
        <w:t> </w:t>
      </w:r>
      <w:r>
        <w:rPr>
          <w:color w:val="6E6158"/>
        </w:rPr>
        <w:t>on</w:t>
      </w:r>
      <w:r>
        <w:rPr>
          <w:color w:val="6E6158"/>
          <w:spacing w:val="14"/>
        </w:rPr>
        <w:t> </w:t>
      </w:r>
      <w:r>
        <w:rPr>
          <w:color w:val="6E6158"/>
        </w:rPr>
        <w:t>Tax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080" w:right="1080"/>
        </w:sectPr>
      </w:pPr>
    </w:p>
    <w:p>
      <w:pPr>
        <w:pStyle w:val="BodyText"/>
        <w:spacing w:line="292" w:lineRule="auto" w:before="83"/>
        <w:ind w:left="459"/>
      </w:pPr>
      <w:r>
        <w:rPr>
          <w:color w:val="6E6158"/>
        </w:rPr>
        <w:t>Policy, Business Law and</w:t>
      </w:r>
      <w:r>
        <w:rPr>
          <w:color w:val="6E6158"/>
          <w:spacing w:val="80"/>
        </w:rPr>
        <w:t> </w:t>
      </w:r>
      <w:r>
        <w:rPr>
          <w:color w:val="6E6158"/>
        </w:rPr>
        <w:t>Membership Committees; and Chair of the Internal Revenue </w:t>
      </w:r>
      <w:r>
        <w:rPr>
          <w:color w:val="6E6158"/>
        </w:rPr>
        <w:t>Service Sacramento District Practitioners Liaison Committee.</w:t>
      </w:r>
    </w:p>
    <w:p>
      <w:pPr>
        <w:pStyle w:val="Heading1"/>
        <w:spacing w:before="171"/>
      </w:pPr>
      <w:r>
        <w:rPr>
          <w:color w:val="FF8100"/>
          <w:spacing w:val="-2"/>
        </w:rPr>
        <w:t>PLANNING</w:t>
      </w:r>
    </w:p>
    <w:p>
      <w:pPr>
        <w:pStyle w:val="BodyText"/>
        <w:spacing w:line="292" w:lineRule="auto" w:before="147"/>
        <w:ind w:left="459" w:right="583"/>
      </w:pPr>
      <w:r>
        <w:rPr>
          <w:color w:val="6E6158"/>
        </w:rPr>
        <w:t>In the planning stages, the group counsels both individual and business entity clients regarding</w:t>
      </w:r>
      <w:r>
        <w:rPr>
          <w:color w:val="6E6158"/>
          <w:spacing w:val="40"/>
        </w:rPr>
        <w:t> </w:t>
      </w:r>
      <w:r>
        <w:rPr>
          <w:color w:val="6E6158"/>
        </w:rPr>
        <w:t>issues</w:t>
      </w:r>
      <w:r>
        <w:rPr>
          <w:color w:val="6E6158"/>
          <w:spacing w:val="29"/>
        </w:rPr>
        <w:t> </w:t>
      </w:r>
      <w:r>
        <w:rPr>
          <w:color w:val="6E6158"/>
        </w:rPr>
        <w:t>related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income</w:t>
      </w:r>
      <w:r>
        <w:rPr>
          <w:color w:val="6E6158"/>
          <w:spacing w:val="29"/>
        </w:rPr>
        <w:t> </w:t>
      </w:r>
      <w:r>
        <w:rPr>
          <w:color w:val="6E6158"/>
        </w:rPr>
        <w:t>taxes,</w:t>
      </w:r>
      <w:r>
        <w:rPr>
          <w:color w:val="6E6158"/>
          <w:spacing w:val="29"/>
        </w:rPr>
        <w:t> </w:t>
      </w:r>
      <w:r>
        <w:rPr>
          <w:color w:val="6E6158"/>
        </w:rPr>
        <w:t>sales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use</w:t>
      </w:r>
      <w:r>
        <w:rPr>
          <w:color w:val="6E6158"/>
          <w:spacing w:val="29"/>
        </w:rPr>
        <w:t> </w:t>
      </w:r>
      <w:r>
        <w:rPr>
          <w:color w:val="6E6158"/>
        </w:rPr>
        <w:t>taxes,</w:t>
      </w:r>
      <w:r>
        <w:rPr>
          <w:color w:val="6E6158"/>
          <w:spacing w:val="29"/>
        </w:rPr>
        <w:t> </w:t>
      </w:r>
      <w:r>
        <w:rPr>
          <w:color w:val="6E6158"/>
        </w:rPr>
        <w:t>employment</w:t>
      </w:r>
      <w:r>
        <w:rPr>
          <w:color w:val="6E6158"/>
          <w:spacing w:val="29"/>
        </w:rPr>
        <w:t> </w:t>
      </w:r>
      <w:r>
        <w:rPr>
          <w:color w:val="6E6158"/>
        </w:rPr>
        <w:t>taxes,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property</w:t>
      </w:r>
      <w:r>
        <w:rPr>
          <w:color w:val="6E6158"/>
          <w:spacing w:val="29"/>
        </w:rPr>
        <w:t> </w:t>
      </w:r>
      <w:r>
        <w:rPr>
          <w:color w:val="6E6158"/>
        </w:rPr>
        <w:t>taxes.</w:t>
      </w:r>
    </w:p>
    <w:p>
      <w:pPr>
        <w:pStyle w:val="BodyText"/>
        <w:spacing w:line="292" w:lineRule="auto" w:before="1"/>
        <w:ind w:left="459" w:right="583"/>
      </w:pPr>
      <w:r>
        <w:rPr>
          <w:color w:val="6E6158"/>
        </w:rPr>
        <w:t>Additionally, our attorneys are well-versed in estate and gift taxation, tax-deferred exchanges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real</w:t>
      </w:r>
      <w:r>
        <w:rPr>
          <w:color w:val="6E6158"/>
          <w:spacing w:val="35"/>
        </w:rPr>
        <w:t> </w:t>
      </w:r>
      <w:r>
        <w:rPr>
          <w:color w:val="6E6158"/>
        </w:rPr>
        <w:t>property,</w:t>
      </w:r>
      <w:r>
        <w:rPr>
          <w:color w:val="6E6158"/>
          <w:spacing w:val="35"/>
        </w:rPr>
        <w:t> </w:t>
      </w:r>
      <w:r>
        <w:rPr>
          <w:color w:val="6E6158"/>
        </w:rPr>
        <w:t>entity</w:t>
      </w:r>
      <w:r>
        <w:rPr>
          <w:color w:val="6E6158"/>
          <w:spacing w:val="35"/>
        </w:rPr>
        <w:t> </w:t>
      </w:r>
      <w:r>
        <w:rPr>
          <w:color w:val="6E6158"/>
        </w:rPr>
        <w:t>restructuring,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non-profit</w:t>
      </w:r>
      <w:r>
        <w:rPr>
          <w:color w:val="6E6158"/>
          <w:spacing w:val="35"/>
        </w:rPr>
        <w:t> </w:t>
      </w:r>
      <w:r>
        <w:rPr>
          <w:color w:val="6E6158"/>
        </w:rPr>
        <w:t>entity</w:t>
      </w:r>
      <w:r>
        <w:rPr>
          <w:color w:val="6E6158"/>
          <w:spacing w:val="35"/>
        </w:rPr>
        <w:t> </w:t>
      </w:r>
      <w:r>
        <w:rPr>
          <w:color w:val="6E6158"/>
        </w:rPr>
        <w:t>formation,</w:t>
      </w:r>
      <w:r>
        <w:rPr>
          <w:color w:val="6E6158"/>
          <w:spacing w:val="35"/>
        </w:rPr>
        <w:t> </w:t>
      </w:r>
      <w:r>
        <w:rPr>
          <w:color w:val="6E6158"/>
        </w:rPr>
        <w:t>charitable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other</w:t>
      </w:r>
      <w:r>
        <w:rPr>
          <w:color w:val="6E6158"/>
          <w:spacing w:val="35"/>
        </w:rPr>
        <w:t> </w:t>
      </w:r>
      <w:r>
        <w:rPr>
          <w:color w:val="6E6158"/>
        </w:rPr>
        <w:t>tax</w:t>
      </w:r>
    </w:p>
    <w:p>
      <w:pPr>
        <w:pStyle w:val="BodyText"/>
        <w:spacing w:before="9"/>
        <w:ind w:left="459"/>
      </w:pPr>
      <w:r>
        <w:rPr>
          <w:color w:val="6E6158"/>
          <w:spacing w:val="-2"/>
        </w:rPr>
        <w:t>planning.</w:t>
      </w:r>
    </w:p>
    <w:p>
      <w:pPr>
        <w:pStyle w:val="Heading1"/>
        <w:spacing w:before="213"/>
      </w:pPr>
      <w:r>
        <w:rPr>
          <w:color w:val="FF8100"/>
          <w:spacing w:val="-2"/>
        </w:rPr>
        <w:t>CONTROVERSY</w:t>
      </w:r>
    </w:p>
    <w:p>
      <w:pPr>
        <w:pStyle w:val="BodyText"/>
        <w:spacing w:line="295" w:lineRule="auto" w:before="147"/>
        <w:ind w:left="459" w:right="657"/>
      </w:pPr>
      <w:r>
        <w:rPr>
          <w:color w:val="6E6158"/>
        </w:rPr>
        <w:t>The Tax Practice Group is ready to represent and has successfully defended clients in complex</w:t>
      </w:r>
      <w:r>
        <w:rPr>
          <w:color w:val="6E6158"/>
          <w:spacing w:val="40"/>
        </w:rPr>
        <w:t> </w:t>
      </w:r>
      <w:r>
        <w:rPr>
          <w:color w:val="6E6158"/>
        </w:rPr>
        <w:t>audits and collection proceedings involving the IRS, the Franchise Tax Board, the State Board of</w:t>
      </w:r>
      <w:r>
        <w:rPr>
          <w:color w:val="6E6158"/>
          <w:spacing w:val="40"/>
        </w:rPr>
        <w:t> </w:t>
      </w:r>
      <w:r>
        <w:rPr>
          <w:color w:val="6E6158"/>
        </w:rPr>
        <w:t>Equalization, the Employment Development Department and County Tax Assessors, and </w:t>
      </w:r>
      <w:r>
        <w:rPr>
          <w:color w:val="6E6158"/>
        </w:rPr>
        <w:t>boards</w:t>
      </w:r>
      <w:r>
        <w:rPr>
          <w:color w:val="6E6158"/>
          <w:spacing w:val="80"/>
        </w:rPr>
        <w:t> </w:t>
      </w:r>
      <w:r>
        <w:rPr>
          <w:color w:val="6E6158"/>
        </w:rPr>
        <w:t>or</w:t>
      </w:r>
      <w:r>
        <w:rPr>
          <w:color w:val="6E6158"/>
          <w:spacing w:val="28"/>
        </w:rPr>
        <w:t> </w:t>
      </w:r>
      <w:r>
        <w:rPr>
          <w:color w:val="6E6158"/>
        </w:rPr>
        <w:t>commissions.</w:t>
      </w:r>
      <w:r>
        <w:rPr>
          <w:color w:val="6E6158"/>
          <w:spacing w:val="28"/>
        </w:rPr>
        <w:t> </w:t>
      </w:r>
      <w:r>
        <w:rPr>
          <w:color w:val="6E6158"/>
        </w:rPr>
        <w:t>Our</w:t>
      </w:r>
      <w:r>
        <w:rPr>
          <w:color w:val="6E6158"/>
          <w:spacing w:val="28"/>
        </w:rPr>
        <w:t> </w:t>
      </w:r>
      <w:r>
        <w:rPr>
          <w:color w:val="6E6158"/>
        </w:rPr>
        <w:t>tax</w:t>
      </w:r>
      <w:r>
        <w:rPr>
          <w:color w:val="6E6158"/>
          <w:spacing w:val="28"/>
        </w:rPr>
        <w:t> </w:t>
      </w:r>
      <w:r>
        <w:rPr>
          <w:color w:val="6E6158"/>
        </w:rPr>
        <w:t>professionals</w:t>
      </w:r>
      <w:r>
        <w:rPr>
          <w:color w:val="6E6158"/>
          <w:spacing w:val="28"/>
        </w:rPr>
        <w:t> </w:t>
      </w:r>
      <w:r>
        <w:rPr>
          <w:color w:val="6E6158"/>
        </w:rPr>
        <w:t>regularly</w:t>
      </w:r>
      <w:r>
        <w:rPr>
          <w:color w:val="6E6158"/>
          <w:spacing w:val="28"/>
        </w:rPr>
        <w:t> </w:t>
      </w:r>
      <w:r>
        <w:rPr>
          <w:color w:val="6E6158"/>
        </w:rPr>
        <w:t>litigate</w:t>
      </w:r>
      <w:r>
        <w:rPr>
          <w:color w:val="6E6158"/>
          <w:spacing w:val="28"/>
        </w:rPr>
        <w:t> </w:t>
      </w:r>
      <w:r>
        <w:rPr>
          <w:color w:val="6E6158"/>
        </w:rPr>
        <w:t>tax</w:t>
      </w:r>
      <w:r>
        <w:rPr>
          <w:color w:val="6E6158"/>
          <w:spacing w:val="28"/>
        </w:rPr>
        <w:t> </w:t>
      </w:r>
      <w:r>
        <w:rPr>
          <w:color w:val="6E6158"/>
        </w:rPr>
        <w:t>controversy</w:t>
      </w:r>
      <w:r>
        <w:rPr>
          <w:color w:val="6E6158"/>
          <w:spacing w:val="28"/>
        </w:rPr>
        <w:t> </w:t>
      </w:r>
      <w:r>
        <w:rPr>
          <w:color w:val="6E6158"/>
        </w:rPr>
        <w:t>cases</w:t>
      </w:r>
      <w:r>
        <w:rPr>
          <w:color w:val="6E6158"/>
          <w:spacing w:val="28"/>
        </w:rPr>
        <w:t> </w:t>
      </w:r>
      <w:r>
        <w:rPr>
          <w:color w:val="6E6158"/>
        </w:rPr>
        <w:t>with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U.S.</w:t>
      </w:r>
      <w:r>
        <w:rPr>
          <w:color w:val="6E6158"/>
          <w:spacing w:val="28"/>
        </w:rPr>
        <w:t> </w:t>
      </w:r>
      <w:r>
        <w:rPr>
          <w:color w:val="6E6158"/>
        </w:rPr>
        <w:t>Tax</w:t>
      </w:r>
    </w:p>
    <w:p>
      <w:pPr>
        <w:pStyle w:val="BodyText"/>
        <w:spacing w:line="292" w:lineRule="auto" w:before="1"/>
        <w:ind w:left="459" w:right="708"/>
      </w:pPr>
      <w:r>
        <w:rPr>
          <w:color w:val="6E6158"/>
        </w:rPr>
        <w:t>Court,</w:t>
      </w:r>
      <w:r>
        <w:rPr>
          <w:color w:val="6E6158"/>
          <w:spacing w:val="40"/>
        </w:rPr>
        <w:t> </w:t>
      </w:r>
      <w:r>
        <w:rPr>
          <w:color w:val="6E6158"/>
        </w:rPr>
        <w:t>Federal District Court, and California Office of Tax Appeals (OTA) with successful outcomes either eliminating or significantly reducing our clients tax liability.</w:t>
      </w:r>
    </w:p>
    <w:p>
      <w:pPr>
        <w:pStyle w:val="BodyText"/>
        <w:spacing w:line="292" w:lineRule="auto" w:before="205"/>
        <w:ind w:left="459" w:right="583"/>
      </w:pPr>
      <w:r>
        <w:rPr>
          <w:color w:val="6E6158"/>
        </w:rPr>
        <w:t>Tax attorneys can also help clients navigate disputes with the IRS, the Arizona Department of</w:t>
      </w:r>
      <w:r>
        <w:rPr>
          <w:color w:val="6E6158"/>
          <w:spacing w:val="40"/>
        </w:rPr>
        <w:t> </w:t>
      </w:r>
      <w:r>
        <w:rPr>
          <w:color w:val="6E6158"/>
        </w:rPr>
        <w:t>Revenue, the Nevada Department of Taxation, the Colorado Department of Revenue, the</w:t>
      </w:r>
      <w:r>
        <w:rPr>
          <w:color w:val="6E6158"/>
          <w:spacing w:val="40"/>
        </w:rPr>
        <w:t> </w:t>
      </w:r>
      <w:r>
        <w:rPr>
          <w:color w:val="6E6158"/>
        </w:rPr>
        <w:t>California Department of Tax and Fee Administration (CDTFA) or other taxing agencies.</w:t>
      </w:r>
    </w:p>
    <w:p>
      <w:pPr>
        <w:pStyle w:val="Heading1"/>
        <w:spacing w:before="163"/>
      </w:pPr>
      <w:r>
        <w:rPr>
          <w:color w:val="FF8100"/>
          <w:spacing w:val="-2"/>
        </w:rPr>
        <w:t>CLIENTS</w:t>
      </w:r>
    </w:p>
    <w:p>
      <w:pPr>
        <w:pStyle w:val="BodyText"/>
        <w:spacing w:before="155"/>
        <w:ind w:left="459"/>
      </w:pPr>
      <w:r>
        <w:rPr>
          <w:color w:val="6E6158"/>
        </w:rPr>
        <w:t>Our</w:t>
      </w:r>
      <w:r>
        <w:rPr>
          <w:color w:val="6E6158"/>
          <w:spacing w:val="9"/>
        </w:rPr>
        <w:t> </w:t>
      </w:r>
      <w:r>
        <w:rPr>
          <w:color w:val="6E6158"/>
        </w:rPr>
        <w:t>client</w:t>
      </w:r>
      <w:r>
        <w:rPr>
          <w:color w:val="6E6158"/>
          <w:spacing w:val="10"/>
        </w:rPr>
        <w:t> </w:t>
      </w:r>
      <w:r>
        <w:rPr>
          <w:color w:val="6E6158"/>
        </w:rPr>
        <w:t>base</w:t>
      </w:r>
      <w:r>
        <w:rPr>
          <w:color w:val="6E6158"/>
          <w:spacing w:val="10"/>
        </w:rPr>
        <w:t> </w:t>
      </w:r>
      <w:r>
        <w:rPr>
          <w:color w:val="6E6158"/>
        </w:rPr>
        <w:t>is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9"/>
        </w:rPr>
        <w:t> </w:t>
      </w:r>
      <w:r>
        <w:rPr>
          <w:color w:val="6E6158"/>
        </w:rPr>
        <w:t>varied</w:t>
      </w:r>
      <w:r>
        <w:rPr>
          <w:color w:val="6E6158"/>
          <w:spacing w:val="10"/>
        </w:rPr>
        <w:t> </w:t>
      </w:r>
      <w:r>
        <w:rPr>
          <w:color w:val="6E6158"/>
        </w:rPr>
        <w:t>as</w:t>
      </w:r>
      <w:r>
        <w:rPr>
          <w:color w:val="6E6158"/>
          <w:spacing w:val="10"/>
        </w:rPr>
        <w:t> </w:t>
      </w:r>
      <w:r>
        <w:rPr>
          <w:color w:val="6E6158"/>
        </w:rPr>
        <w:t>our</w:t>
      </w:r>
      <w:r>
        <w:rPr>
          <w:color w:val="6E6158"/>
          <w:spacing w:val="10"/>
        </w:rPr>
        <w:t> </w:t>
      </w:r>
      <w:r>
        <w:rPr>
          <w:color w:val="6E6158"/>
        </w:rPr>
        <w:t>specializations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includes:</w:t>
      </w:r>
    </w:p>
    <w:p>
      <w:pPr>
        <w:pStyle w:val="BodyText"/>
        <w:spacing w:before="14"/>
      </w:pPr>
    </w:p>
    <w:p>
      <w:pPr>
        <w:pStyle w:val="BodyText"/>
        <w:spacing w:line="292" w:lineRule="auto"/>
        <w:ind w:left="711" w:right="5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152494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07468pt;width:1.65pt;height:1.65pt;mso-position-horizontal-relative:page;mso-position-vertical-relative:paragraph;z-index:15730176" id="docshape8" coordorigin="1670,240" coordsize="33,33" path="m1691,273l1682,273,1678,271,1671,265,1670,261,1670,252,1671,248,1678,242,1682,240,1691,240,1694,242,1701,248,1702,252,1702,256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entrepreneurs just starting out and designing their entity structure, positioning for future </w:t>
      </w:r>
      <w:r>
        <w:rPr>
          <w:color w:val="6E6158"/>
        </w:rPr>
        <w:t>growth</w:t>
      </w:r>
      <w:r>
        <w:rPr>
          <w:color w:val="6E6158"/>
          <w:spacing w:val="40"/>
        </w:rPr>
        <w:t> </w:t>
      </w:r>
      <w:r>
        <w:rPr>
          <w:color w:val="6E6158"/>
        </w:rPr>
        <w:t>and impact as well as minimizing future tax liabilities</w:t>
      </w:r>
    </w:p>
    <w:p>
      <w:pPr>
        <w:pStyle w:val="BodyText"/>
        <w:spacing w:line="297" w:lineRule="auto" w:before="123"/>
        <w:ind w:left="711" w:right="5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323788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514pt;width:1.65pt;height:1.65pt;mso-position-horizontal-relative:page;mso-position-vertical-relative:paragraph;z-index:15730688" id="docshape9" coordorigin="1670,510" coordsize="33,33" path="m1691,542l1682,542,1678,541,1671,535,1670,531,1670,522,1671,518,1678,511,1682,510,1691,510,1694,511,1701,518,1702,522,1702,526,1702,531,1701,535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existing businesses seeking to implement creative benefit and compensation plans to </w:t>
      </w:r>
      <w:r>
        <w:rPr>
          <w:color w:val="6E6158"/>
        </w:rPr>
        <w:t>attract,</w:t>
      </w:r>
      <w:r>
        <w:rPr>
          <w:color w:val="6E6158"/>
          <w:spacing w:val="40"/>
        </w:rPr>
        <w:t> </w:t>
      </w:r>
      <w:r>
        <w:rPr>
          <w:color w:val="6E6158"/>
        </w:rPr>
        <w:t>retrain, and reward employees and achieve operating efficiencies including pass-through</w:t>
      </w:r>
      <w:r>
        <w:rPr>
          <w:color w:val="6E6158"/>
          <w:spacing w:val="40"/>
        </w:rPr>
        <w:t> </w:t>
      </w:r>
      <w:r>
        <w:rPr>
          <w:color w:val="6E6158"/>
        </w:rPr>
        <w:t>entity tax elections</w:t>
      </w:r>
    </w:p>
    <w:p>
      <w:pPr>
        <w:pStyle w:val="BodyText"/>
        <w:spacing w:line="297" w:lineRule="auto" w:before="118"/>
        <w:ind w:left="711" w:right="7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320644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247595pt;width:1.65pt;height:1.65pt;mso-position-horizontal-relative:page;mso-position-vertical-relative:paragraph;z-index:15731200" id="docshape10" coordorigin="1670,505" coordsize="33,33" path="m1691,538l1682,538,1678,536,1671,530,1670,526,1670,517,1671,513,1678,507,1682,505,1691,505,1694,507,1701,513,1702,517,1702,521,1702,526,1701,530,1694,536,1691,53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mature enterprises or business owners looking to sell or transition to the next generation</w:t>
      </w:r>
      <w:r>
        <w:rPr>
          <w:color w:val="6E6158"/>
          <w:spacing w:val="40"/>
        </w:rPr>
        <w:t> </w:t>
      </w:r>
      <w:r>
        <w:rPr>
          <w:color w:val="6E6158"/>
        </w:rPr>
        <w:t>including restructuring where needed to minimize income taxes in the future or to </w:t>
      </w:r>
      <w:r>
        <w:rPr>
          <w:color w:val="6E6158"/>
        </w:rPr>
        <w:t>better position a company for a future liquidity or transition event</w:t>
      </w:r>
    </w:p>
    <w:p>
      <w:pPr>
        <w:pStyle w:val="BodyText"/>
        <w:spacing w:before="118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139818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009337pt;width:1.65pt;height:1.65pt;mso-position-horizontal-relative:page;mso-position-vertical-relative:paragraph;z-index:15731712" id="docshape11" coordorigin="1670,220" coordsize="33,33" path="m1691,253l1682,253,1678,251,1671,245,1670,241,1670,232,1671,228,1678,222,1682,220,1691,220,1694,222,1701,228,1702,232,1702,236,1702,241,1701,245,1694,251,1691,2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investors</w:t>
      </w:r>
      <w:r>
        <w:rPr>
          <w:color w:val="6E6158"/>
          <w:spacing w:val="14"/>
        </w:rPr>
        <w:t> </w:t>
      </w:r>
      <w:r>
        <w:rPr>
          <w:color w:val="6E6158"/>
        </w:rPr>
        <w:t>seeking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maximize</w:t>
      </w:r>
      <w:r>
        <w:rPr>
          <w:color w:val="6E6158"/>
          <w:spacing w:val="14"/>
        </w:rPr>
        <w:t> </w:t>
      </w:r>
      <w:r>
        <w:rPr>
          <w:color w:val="6E6158"/>
        </w:rPr>
        <w:t>after-tax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returns</w:t>
      </w:r>
    </w:p>
    <w:p>
      <w:pPr>
        <w:pStyle w:val="BodyText"/>
        <w:spacing w:before="174"/>
        <w:ind w:left="7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175328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376pt;width:1.65pt;height:1.65pt;mso-position-horizontal-relative:page;mso-position-vertical-relative:paragraph;z-index:15732224" id="docshape1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high-net-worth</w:t>
      </w:r>
      <w:r>
        <w:rPr>
          <w:color w:val="6E6158"/>
          <w:spacing w:val="13"/>
        </w:rPr>
        <w:t> </w:t>
      </w:r>
      <w:r>
        <w:rPr>
          <w:color w:val="6E6158"/>
        </w:rPr>
        <w:t>individuals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families</w:t>
      </w:r>
      <w:r>
        <w:rPr>
          <w:color w:val="6E6158"/>
          <w:spacing w:val="14"/>
        </w:rPr>
        <w:t> </w:t>
      </w:r>
      <w:r>
        <w:rPr>
          <w:color w:val="6E6158"/>
        </w:rPr>
        <w:t>desiring</w:t>
      </w:r>
      <w:r>
        <w:rPr>
          <w:color w:val="6E6158"/>
          <w:spacing w:val="13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minimize</w:t>
      </w:r>
      <w:r>
        <w:rPr>
          <w:color w:val="6E6158"/>
          <w:spacing w:val="13"/>
        </w:rPr>
        <w:t> </w:t>
      </w:r>
      <w:r>
        <w:rPr>
          <w:color w:val="6E6158"/>
        </w:rPr>
        <w:t>gift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taxes</w:t>
      </w:r>
    </w:p>
    <w:p>
      <w:pPr>
        <w:pStyle w:val="BodyText"/>
        <w:spacing w:before="14"/>
      </w:pPr>
    </w:p>
    <w:p>
      <w:pPr>
        <w:pStyle w:val="BodyText"/>
        <w:spacing w:line="302" w:lineRule="auto"/>
        <w:ind w:left="459" w:right="708"/>
      </w:pPr>
      <w:r>
        <w:rPr>
          <w:color w:val="6E6158"/>
        </w:rPr>
        <w:t>We welcome the opportunity to talk to you about the tax planning strategies available to help</w:t>
      </w:r>
      <w:r>
        <w:rPr>
          <w:color w:val="6E6158"/>
          <w:spacing w:val="40"/>
        </w:rPr>
        <w:t> </w:t>
      </w:r>
      <w:r>
        <w:rPr>
          <w:color w:val="6E6158"/>
        </w:rPr>
        <w:t>you achieve your objectives.</w:t>
      </w:r>
    </w:p>
    <w:sectPr>
      <w:pgSz w:w="12240" w:h="15840"/>
      <w:pgMar w:top="500" w:bottom="28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45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00"/>
      <w:ind w:left="49"/>
      <w:outlineLvl w:val="2"/>
    </w:pPr>
    <w:rPr>
      <w:rFonts w:ascii="Century Gothic" w:hAnsi="Century Gothic" w:eastAsia="Century Gothic" w:cs="Century Gothic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hyperlink" Target="https://www.fennemorelaw.com/services/tax/" TargetMode="External"/><Relationship Id="rId10" Type="http://schemas.openxmlformats.org/officeDocument/2006/relationships/hyperlink" Target="https://www.fennemorelaw.com/services/business-and-finance/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www.fennemorelaw.com/people/attorneys/belan-k-wagner/" TargetMode="External"/><Relationship Id="rId13" Type="http://schemas.openxmlformats.org/officeDocument/2006/relationships/hyperlink" Target="https://www.fennemorelaw.com/contact-us/#sacramento" TargetMode="External"/><Relationship Id="rId14" Type="http://schemas.openxmlformats.org/officeDocument/2006/relationships/hyperlink" Target="mailto:bwagner@fennemorelaw.com" TargetMode="External"/><Relationship Id="rId15" Type="http://schemas.openxmlformats.org/officeDocument/2006/relationships/hyperlink" Target="https://www.fennemorelaw.com/people/attorneys/stephen-a-good/" TargetMode="External"/><Relationship Id="rId16" Type="http://schemas.openxmlformats.org/officeDocument/2006/relationships/hyperlink" Target="https://www.fennemorelaw.com/contact-us/#phoenix" TargetMode="External"/><Relationship Id="rId17" Type="http://schemas.openxmlformats.org/officeDocument/2006/relationships/hyperlink" Target="mailto:sgood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 Law - Fennemore</dc:title>
  <dcterms:created xsi:type="dcterms:W3CDTF">2026-01-22T11:26:48Z</dcterms:created>
  <dcterms:modified xsi:type="dcterms:W3CDTF">2026-01-22T11:26:48Z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2026-01-22T00:00:00Z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2026-01-22T00:00:00Z</vt:filetime>
  </property>
  <property fmtid="{D5CDD505-2E9C-101B-9397-08002B2CF9AE}" pid="5" name="Producer">
    <vt:lpwstr>Skia/PDF m142</vt:lpwstr>
  </property>
</Properties>
</file>