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5" w:lineRule="auto" w:before="1"/>
        <w:ind w:left="99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imothy Ber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6241" y="763308"/>
                            <a:ext cx="20078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J.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BERG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324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977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75807" y="2226505"/>
                            <a:ext cx="1368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02683" y="3482163"/>
                            <a:ext cx="14827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problem,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solve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-George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Catlett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Marshall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528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TIMOTHY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Timothy Berg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34;top:-5016;width:3142;height:505" id="docshape6" coordorigin="6935,-5016" coordsize="3142,505" path="m10076,-4520l6935,-4520,6935,-4511,10076,-4511,10076,-4520xm10076,-5016l6935,-5016,6935,-5008,10076,-5008,1007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6;top:-5971;width:316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J.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BERG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602.916.5421</w:t>
                        </w:r>
                      </w:p>
                    </w:txbxContent>
                  </v:textbox>
                  <w10:wrap type="none"/>
                </v:shape>
                <v:shape style="position:absolute;left:8768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602.916.5621</w:t>
                        </w:r>
                      </w:p>
                    </w:txbxContent>
                  </v:textbox>
                  <w10:wrap type="none"/>
                </v:shape>
                <v:shape style="position:absolute;left:7439;top:-3667;width:215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62;top:-1689;width:233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fight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problem,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solve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-George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Catlett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Marshall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73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TIMOTHY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J.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BERG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Formerly the managing partner of our firm, Tim Berg is a distinguished attorney in our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group, focusing primarily in the areas of civil appeals, state constitutional and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records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utilities</w:t>
      </w:r>
      <w:r>
        <w:rPr>
          <w:color w:val="6E6158"/>
          <w:spacing w:val="28"/>
        </w:rPr>
        <w:t> </w:t>
      </w:r>
      <w:r>
        <w:rPr>
          <w:color w:val="6E6158"/>
        </w:rPr>
        <w:t>regulation.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an appellate attorney, he has participated in the briefing or argument of more than 800 appeals</w:t>
      </w:r>
      <w:r>
        <w:rPr>
          <w:color w:val="6E6158"/>
          <w:spacing w:val="40"/>
        </w:rPr>
        <w:t> </w:t>
      </w:r>
      <w:r>
        <w:rPr>
          <w:color w:val="6E6158"/>
        </w:rPr>
        <w:t>before the United States Courts of Appeals for the Ninth Circuit, the Tenth Circuit, the Second</w:t>
      </w:r>
      <w:r>
        <w:rPr>
          <w:color w:val="6E6158"/>
          <w:spacing w:val="40"/>
        </w:rPr>
        <w:t> </w:t>
      </w:r>
      <w:r>
        <w:rPr>
          <w:color w:val="6E6158"/>
        </w:rPr>
        <w:t>Circuit, the Fourth Circuit, the Fifth Circuit, the Eleventh Circuit, the Federal Circuit, the Supreme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divisions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Appeals.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appellate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spans a broad field of substantive areas, including Arizona constitutional and public law, public records</w:t>
      </w:r>
      <w:r>
        <w:rPr>
          <w:color w:val="6E6158"/>
          <w:spacing w:val="40"/>
        </w:rPr>
        <w:t> </w:t>
      </w:r>
      <w:r>
        <w:rPr>
          <w:color w:val="6E6158"/>
        </w:rPr>
        <w:t>law, insurance coverage, medical malpractice, product liability, environmental,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taxation,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torts,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mineral</w:t>
      </w:r>
      <w:r>
        <w:rPr>
          <w:color w:val="6E6158"/>
          <w:spacing w:val="32"/>
        </w:rPr>
        <w:t> </w:t>
      </w:r>
      <w:r>
        <w:rPr>
          <w:color w:val="6E6158"/>
        </w:rPr>
        <w:t>rights,</w:t>
      </w:r>
      <w:r>
        <w:rPr>
          <w:color w:val="6E6158"/>
          <w:spacing w:val="32"/>
        </w:rPr>
        <w:t> </w:t>
      </w:r>
      <w:r>
        <w:rPr>
          <w:color w:val="6E6158"/>
        </w:rPr>
        <w:t>bankruptcy,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</w:p>
    <w:p>
      <w:pPr>
        <w:pStyle w:val="BodyText"/>
        <w:spacing w:line="292" w:lineRule="auto" w:before="7"/>
        <w:ind w:left="99" w:right="414"/>
      </w:pPr>
      <w:r>
        <w:rPr>
          <w:color w:val="6E6158"/>
        </w:rPr>
        <w:t>utilities. He represents state and local governments and agencies, as well as companies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disputes with the government.</w:t>
      </w:r>
    </w:p>
    <w:p>
      <w:pPr>
        <w:pStyle w:val="BodyText"/>
        <w:spacing w:line="295" w:lineRule="auto" w:before="204"/>
        <w:ind w:left="99" w:right="202"/>
      </w:pP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appellate</w:t>
      </w:r>
      <w:r>
        <w:rPr>
          <w:color w:val="6E6158"/>
          <w:spacing w:val="15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</w:rPr>
        <w:t>Tim</w:t>
      </w:r>
      <w:r>
        <w:rPr>
          <w:color w:val="6E6158"/>
          <w:spacing w:val="15"/>
        </w:rPr>
        <w:t> </w:t>
      </w:r>
      <w:r>
        <w:rPr>
          <w:color w:val="6E6158"/>
        </w:rPr>
        <w:t>enjoys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solve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problems,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with a wide variety of people in different industries. He represents business and government clients in</w:t>
      </w:r>
      <w:r>
        <w:rPr>
          <w:color w:val="6E6158"/>
          <w:spacing w:val="40"/>
        </w:rPr>
        <w:t> </w:t>
      </w:r>
      <w:r>
        <w:rPr>
          <w:color w:val="6E6158"/>
        </w:rPr>
        <w:t>litigation arising under Arizona and other states’ public records law, and regularly assists clients in</w:t>
      </w:r>
      <w:r>
        <w:rPr>
          <w:color w:val="6E6158"/>
          <w:spacing w:val="40"/>
        </w:rPr>
        <w:t> </w:t>
      </w:r>
      <w:r>
        <w:rPr>
          <w:color w:val="6E6158"/>
        </w:rPr>
        <w:t>protecting their personal, proprietary or confidential information from improper disclosure as a</w:t>
      </w:r>
      <w:r>
        <w:rPr>
          <w:color w:val="6E6158"/>
          <w:spacing w:val="40"/>
        </w:rPr>
        <w:t> </w:t>
      </w:r>
      <w:r>
        <w:rPr>
          <w:color w:val="6E6158"/>
        </w:rPr>
        <w:t>result of public records requests. Tim also represents clients before the Arizona Legislature and</w:t>
      </w:r>
      <w:r>
        <w:rPr>
          <w:color w:val="6E6158"/>
          <w:spacing w:val="80"/>
        </w:rPr>
        <w:t> </w:t>
      </w:r>
      <w:r>
        <w:rPr>
          <w:color w:val="6E6158"/>
        </w:rPr>
        <w:t>state agencies. In his role as an Arizona Uniform Laws Commissioner, he serves on drafting committees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projects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laws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model</w:t>
      </w:r>
      <w:r>
        <w:rPr>
          <w:color w:val="6E6158"/>
          <w:spacing w:val="30"/>
        </w:rPr>
        <w:t> </w:t>
      </w:r>
      <w:r>
        <w:rPr>
          <w:color w:val="6E6158"/>
        </w:rPr>
        <w:t>acts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adoption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Indian</w:t>
      </w:r>
    </w:p>
    <w:p>
      <w:pPr>
        <w:pStyle w:val="BodyText"/>
        <w:spacing w:line="292" w:lineRule="auto" w:before="5"/>
        <w:ind w:left="99" w:right="105"/>
      </w:pPr>
      <w:r>
        <w:rPr>
          <w:color w:val="6E6158"/>
        </w:rPr>
        <w:t>tribes. Tim clerked for Judge Richard H. Chambers, Chief Judge of the United States Court of</w:t>
      </w:r>
      <w:r>
        <w:rPr>
          <w:color w:val="6E6158"/>
          <w:spacing w:val="40"/>
        </w:rPr>
        <w:t> </w:t>
      </w:r>
      <w:r>
        <w:rPr>
          <w:color w:val="6E6158"/>
        </w:rPr>
        <w:t>Appeals for the Ninth Circuit.</w:t>
      </w:r>
    </w:p>
    <w:p>
      <w:pPr>
        <w:pStyle w:val="BodyText"/>
        <w:spacing w:line="292" w:lineRule="auto" w:before="196"/>
        <w:ind w:left="99" w:right="105"/>
      </w:pPr>
      <w:r>
        <w:rPr>
          <w:color w:val="6E6158"/>
        </w:rPr>
        <w:t>Tim serves as the firm’s general counsel. He served for 21 years on our Management Committee,</w:t>
      </w:r>
      <w:r>
        <w:rPr>
          <w:color w:val="6E6158"/>
          <w:spacing w:val="40"/>
        </w:rPr>
        <w:t> </w:t>
      </w:r>
      <w:r>
        <w:rPr>
          <w:color w:val="6E6158"/>
        </w:rPr>
        <w:t>including 10 years as chair of the committee.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1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Law, with highest </w:t>
      </w:r>
      <w:r>
        <w:rPr>
          <w:color w:val="6E6158"/>
        </w:rPr>
        <w:t>distinction</w:t>
      </w:r>
      <w:r>
        <w:rPr>
          <w:color w:val="6E6158"/>
        </w:rPr>
        <w:t> B.A., Arizona State University, with high distinction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0176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169883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6632pt;width:1.65pt;height:1.65pt;mso-position-horizontal-relative:page;mso-position-vertical-relative:paragraph;z-index:15730688" id="docshape19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7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59557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9564pt;width:1.65pt;height:1.65pt;mso-position-horizontal-relative:page;mso-position-vertical-relative:paragraph;z-index:15731200" id="docshape20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323090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0186pt;width:1.65pt;height:1.65pt;mso-position-horizontal-relative:page;mso-position-vertical-relative:paragraph;z-index:15731712" id="docshape21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 </w:t>
      </w:r>
      <w:r>
        <w:rPr>
          <w:color w:val="6E6158"/>
        </w:rPr>
        <w:t>Indian</w:t>
      </w:r>
      <w:r>
        <w:rPr>
          <w:color w:val="6E6158"/>
          <w:spacing w:val="-9"/>
        </w:rPr>
        <w:t> </w:t>
      </w:r>
      <w:r>
        <w:rPr>
          <w:color w:val="6E6158"/>
        </w:rPr>
        <w:t>Law</w:t>
      </w:r>
    </w:p>
    <w:p>
      <w:pPr>
        <w:pStyle w:val="BodyText"/>
        <w:spacing w:line="422" w:lineRule="auto"/>
        <w:ind w:right="6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63715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6969pt;width:1.65pt;height:1.65pt;mso-position-horizontal-relative:page;mso-position-vertical-relative:paragraph;z-index:15732224" id="docshape2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322081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0731pt;width:1.65pt;height:1.65pt;mso-position-horizontal-relative:page;mso-position-vertical-relative:paragraph;z-index:15732736" id="docshape2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580446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4483pt;width:1.65pt;height:1.65pt;mso-position-horizontal-relative:page;mso-position-vertical-relative:paragraph;z-index:15733248" id="docshape24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 Records Business Litigation 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62930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5192pt;width:1.65pt;height:1.65pt;mso-position-horizontal-relative:page;mso-position-vertical-relative:paragraph;z-index:15733760" id="docshape25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5" w:lineRule="auto" w:before="147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431930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0292pt;width:1.65pt;height:1.65pt;mso-position-horizontal-relative:page;mso-position-vertical-relative:paragraph;z-index:15734272" id="docshape26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</w:t>
      </w:r>
      <w:r>
        <w:rPr>
          <w:color w:val="6E6158"/>
          <w:spacing w:val="80"/>
        </w:rPr>
        <w:t> </w:t>
      </w:r>
      <w:r>
        <w:rPr>
          <w:color w:val="6E6158"/>
        </w:rPr>
        <w:t>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</w:t>
      </w:r>
      <w:r>
        <w:rPr>
          <w:color w:val="6E6158"/>
        </w:rPr>
        <w:t>from the State Land Trust in both state and federal court against challenges under the Enabling</w:t>
      </w:r>
      <w:r>
        <w:rPr>
          <w:color w:val="6E6158"/>
          <w:spacing w:val="40"/>
        </w:rPr>
        <w:t> </w:t>
      </w:r>
      <w:r>
        <w:rPr>
          <w:color w:val="6E6158"/>
        </w:rPr>
        <w:t>Act.</w:t>
      </w:r>
      <w:r>
        <w:rPr>
          <w:color w:val="6E6158"/>
          <w:spacing w:val="80"/>
        </w:rPr>
        <w:t> </w:t>
      </w:r>
      <w:r>
        <w:rPr>
          <w:color w:val="6E6158"/>
        </w:rPr>
        <w:t>Pierce v. Ducey, No. 1CA-CV 22-0007 (Arizona Court of Appeals October 25, 2022); Pierce v. Ducey, 965 F.3d 1085 (9th Cir. 2020).</w:t>
      </w:r>
    </w:p>
    <w:p>
      <w:pPr>
        <w:pStyle w:val="BodyText"/>
        <w:spacing w:line="302" w:lineRule="auto" w:before="123"/>
        <w:ind w:right="4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82pt;width:1.65pt;height:1.65pt;mso-position-horizontal-relative:page;mso-position-vertical-relative:paragraph;z-index:15734784" id="docshape2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Governor Ducey in a challenge to his order with respect to Covid</w:t>
      </w:r>
      <w:r>
        <w:rPr>
          <w:color w:val="6E6158"/>
          <w:spacing w:val="40"/>
        </w:rPr>
        <w:t> </w:t>
      </w:r>
      <w:r>
        <w:rPr>
          <w:color w:val="6E6158"/>
        </w:rPr>
        <w:t>era</w:t>
      </w:r>
      <w:r>
        <w:rPr>
          <w:color w:val="6E6158"/>
          <w:spacing w:val="30"/>
        </w:rPr>
        <w:t> </w:t>
      </w:r>
      <w:r>
        <w:rPr>
          <w:color w:val="6E6158"/>
        </w:rPr>
        <w:t>unemployment</w:t>
      </w:r>
      <w:r>
        <w:rPr>
          <w:color w:val="6E6158"/>
          <w:spacing w:val="30"/>
        </w:rPr>
        <w:t> </w:t>
      </w:r>
      <w:r>
        <w:rPr>
          <w:color w:val="6E6158"/>
        </w:rPr>
        <w:t>benefits.</w:t>
      </w:r>
      <w:r>
        <w:rPr>
          <w:color w:val="6E6158"/>
          <w:spacing w:val="80"/>
        </w:rPr>
        <w:t> </w:t>
      </w:r>
      <w:r>
        <w:rPr>
          <w:color w:val="6E6158"/>
        </w:rPr>
        <w:t>Unemployed</w:t>
      </w:r>
      <w:r>
        <w:rPr>
          <w:color w:val="6E6158"/>
          <w:spacing w:val="30"/>
        </w:rPr>
        <w:t> </w:t>
      </w:r>
      <w:r>
        <w:rPr>
          <w:color w:val="6E6158"/>
        </w:rPr>
        <w:t>Workers</w:t>
      </w:r>
      <w:r>
        <w:rPr>
          <w:color w:val="6E6158"/>
          <w:spacing w:val="30"/>
        </w:rPr>
        <w:t> </w:t>
      </w:r>
      <w:r>
        <w:rPr>
          <w:color w:val="6E6158"/>
        </w:rPr>
        <w:t>v.</w:t>
      </w:r>
      <w:r>
        <w:rPr>
          <w:color w:val="6E6158"/>
          <w:spacing w:val="30"/>
        </w:rPr>
        <w:t> </w:t>
      </w:r>
      <w:r>
        <w:rPr>
          <w:color w:val="6E6158"/>
        </w:rPr>
        <w:t>Ducey,</w:t>
      </w:r>
      <w:r>
        <w:rPr>
          <w:color w:val="6E6158"/>
          <w:spacing w:val="30"/>
        </w:rPr>
        <w:t> </w:t>
      </w:r>
      <w:r>
        <w:rPr>
          <w:color w:val="6E6158"/>
        </w:rPr>
        <w:t>254</w:t>
      </w:r>
      <w:r>
        <w:rPr>
          <w:color w:val="6E6158"/>
          <w:spacing w:val="30"/>
        </w:rPr>
        <w:t> </w:t>
      </w:r>
      <w:r>
        <w:rPr>
          <w:color w:val="6E6158"/>
        </w:rPr>
        <w:t>Ariz.</w:t>
      </w:r>
      <w:r>
        <w:rPr>
          <w:color w:val="6E6158"/>
          <w:spacing w:val="30"/>
        </w:rPr>
        <w:t> </w:t>
      </w:r>
      <w:r>
        <w:rPr>
          <w:color w:val="6E6158"/>
        </w:rPr>
        <w:t>95</w:t>
      </w:r>
      <w:r>
        <w:rPr>
          <w:color w:val="6E6158"/>
          <w:spacing w:val="30"/>
        </w:rPr>
        <w:t> </w:t>
      </w:r>
      <w:r>
        <w:rPr>
          <w:color w:val="6E6158"/>
        </w:rPr>
        <w:t>(App.</w:t>
      </w:r>
      <w:r>
        <w:rPr>
          <w:color w:val="6E6158"/>
          <w:spacing w:val="30"/>
        </w:rPr>
        <w:t> </w:t>
      </w:r>
      <w:r>
        <w:rPr>
          <w:color w:val="6E6158"/>
        </w:rPr>
        <w:t>2022)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410401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15113pt;width:1.65pt;height:1.65pt;mso-position-horizontal-relative:page;mso-position-vertical-relative:paragraph;z-index:15735296" id="docshape28" coordorigin="1670,646" coordsize="33,33" path="m1691,679l1682,679,1678,677,1671,671,1670,667,1670,658,1671,654,1678,648,1682,646,1691,646,1694,648,1701,654,1702,658,1702,663,1702,667,1701,671,1694,677,1691,6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 behalf of the Arizona Tourism and Sports Authority, successfully defended the constitutionality of a tax on the business of leasing vehicles against challenges under the</w:t>
      </w:r>
      <w:r>
        <w:rPr>
          <w:color w:val="6E6158"/>
          <w:spacing w:val="40"/>
        </w:rPr>
        <w:t> </w:t>
      </w:r>
      <w:r>
        <w:rPr>
          <w:color w:val="6E6158"/>
        </w:rPr>
        <w:t>Dormant Commerce Clause of the United States Constitution and the Anti-Diversion provision</w:t>
      </w:r>
      <w:r>
        <w:rPr>
          <w:color w:val="6E6158"/>
          <w:spacing w:val="80"/>
        </w:rPr>
        <w:t> </w:t>
      </w:r>
      <w:r>
        <w:rPr>
          <w:color w:val="6E6158"/>
        </w:rPr>
        <w:t>of the Arizona Constitution. </w:t>
      </w:r>
      <w:r>
        <w:rPr>
          <w:i/>
          <w:color w:val="6E6158"/>
          <w:sz w:val="20"/>
        </w:rPr>
        <w:t>Saban Rent-A Car LLC v. Arizona Department of Revenue, </w:t>
      </w:r>
      <w:r>
        <w:rPr>
          <w:color w:val="6E6158"/>
        </w:rPr>
        <w:t>246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139504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8458pt;width:1.65pt;height:1.65pt;mso-position-horizontal-relative:page;mso-position-vertical-relative:paragraph;z-index:15735808" id="docshape29" coordorigin="1670,220" coordsize="33,33" path="m1691,252l1682,252,1678,251,1671,244,1670,240,1670,231,1671,228,1678,221,1682,220,1691,220,1694,221,1701,228,1702,231,1702,236,1702,240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Ariz.</w:t>
      </w:r>
      <w:r>
        <w:rPr>
          <w:color w:val="6E6158"/>
          <w:spacing w:val="6"/>
        </w:rPr>
        <w:t> </w:t>
      </w:r>
      <w:r>
        <w:rPr>
          <w:color w:val="6E6158"/>
        </w:rPr>
        <w:t>89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(2019)</w:t>
      </w:r>
    </w:p>
    <w:p>
      <w:pPr>
        <w:pStyle w:val="BodyText"/>
        <w:spacing w:line="292" w:lineRule="auto" w:before="174"/>
        <w:ind w:righ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536725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61871pt;width:1.65pt;height:1.65pt;mso-position-horizontal-relative:page;mso-position-vertical-relative:paragraph;z-index:15736320" id="docshape30" coordorigin="1670,845" coordsize="33,33" path="m1691,878l1682,878,1678,876,1671,870,1670,866,1670,857,1671,853,1678,847,1682,845,1691,845,1694,847,1701,853,1702,857,1702,862,1702,866,1701,870,1694,876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Arizona Health Care Cost Containment System in the successful defense in</w:t>
      </w:r>
      <w:r>
        <w:rPr>
          <w:color w:val="6E6158"/>
          <w:spacing w:val="80"/>
        </w:rPr>
        <w:t> </w:t>
      </w:r>
      <w:r>
        <w:rPr>
          <w:color w:val="6E6158"/>
        </w:rPr>
        <w:t>the Arizona Supreme Court of an assessment authorized by the Arizona Legislature to fund</w:t>
      </w:r>
      <w:r>
        <w:rPr>
          <w:color w:val="6E6158"/>
          <w:spacing w:val="40"/>
        </w:rPr>
        <w:t> </w:t>
      </w:r>
      <w:r>
        <w:rPr>
          <w:color w:val="6E6158"/>
        </w:rPr>
        <w:t>Medicaid restoration against a challenge that the assessment violated the supermajority</w:t>
      </w:r>
      <w:r>
        <w:rPr>
          <w:color w:val="6E6158"/>
          <w:spacing w:val="40"/>
        </w:rPr>
        <w:t> </w:t>
      </w:r>
      <w:r>
        <w:rPr>
          <w:color w:val="6E6158"/>
        </w:rPr>
        <w:t>requirement of Article 9, section 22 of the Arizona Constitution. </w:t>
      </w:r>
      <w:r>
        <w:rPr>
          <w:i/>
          <w:color w:val="6E6158"/>
          <w:sz w:val="20"/>
        </w:rPr>
        <w:t>Biggs v. Betlach, </w:t>
      </w:r>
      <w:r>
        <w:rPr>
          <w:color w:val="6E6158"/>
        </w:rPr>
        <w:t>404 P.3d 1243 </w:t>
      </w:r>
      <w:r>
        <w:rPr>
          <w:color w:val="6E6158"/>
          <w:spacing w:val="-2"/>
        </w:rPr>
        <w:t>(2017)</w:t>
      </w:r>
    </w:p>
    <w:p>
      <w:pPr>
        <w:pStyle w:val="BodyText"/>
        <w:spacing w:line="292" w:lineRule="auto" w:before="126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413502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59219pt;width:1.65pt;height:1.65pt;mso-position-horizontal-relative:page;mso-position-vertical-relative:paragraph;z-index:15736832" id="docshape31" coordorigin="1670,651" coordsize="33,33" path="m1691,684l1682,684,1678,682,1671,676,1670,672,1670,663,1671,659,1678,653,1682,651,1691,651,1694,653,1701,659,1702,663,1702,667,1702,672,1701,676,1694,682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City of Phoenix in a lawsuit brought by various taxpayers challenging the</w:t>
      </w:r>
      <w:r>
        <w:rPr>
          <w:color w:val="6E6158"/>
          <w:spacing w:val="40"/>
        </w:rPr>
        <w:t> </w:t>
      </w:r>
      <w:r>
        <w:rPr>
          <w:color w:val="6E6158"/>
        </w:rPr>
        <w:t>constitutionality of a $100 million retail sales tax incentive agreement between the City and</w:t>
      </w:r>
      <w:r>
        <w:rPr>
          <w:color w:val="6E6158"/>
          <w:spacing w:val="40"/>
        </w:rPr>
        <w:t> </w:t>
      </w:r>
      <w:r>
        <w:rPr>
          <w:color w:val="6E6158"/>
        </w:rPr>
        <w:t>developer NPP CityNorth, LLC. The taxpayers alleged that the subject agreement violated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Gift,</w:t>
      </w:r>
      <w:r>
        <w:rPr>
          <w:color w:val="6E6158"/>
          <w:spacing w:val="31"/>
        </w:rPr>
        <w:t> </w:t>
      </w:r>
      <w:r>
        <w:rPr>
          <w:color w:val="6E6158"/>
        </w:rPr>
        <w:t>Special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Privileges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Immunities</w:t>
      </w:r>
      <w:r>
        <w:rPr>
          <w:color w:val="6E6158"/>
          <w:spacing w:val="31"/>
        </w:rPr>
        <w:t> </w:t>
      </w:r>
      <w:r>
        <w:rPr>
          <w:color w:val="6E6158"/>
        </w:rPr>
        <w:t>clauses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(“Gift</w:t>
      </w:r>
    </w:p>
    <w:p>
      <w:pPr>
        <w:pStyle w:val="BodyText"/>
        <w:spacing w:line="295" w:lineRule="auto" w:before="13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603737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538414pt;width:1.65pt;height:1.65pt;mso-position-horizontal-relative:page;mso-position-vertical-relative:paragraph;z-index:15737344" id="docshape32" coordorigin="1670,951" coordsize="33,33" path="m1691,983l1682,983,1678,982,1671,975,1670,972,1670,963,1671,959,1678,952,1682,951,1691,951,1694,952,1701,959,1702,963,1702,967,1702,972,1701,975,1694,982,1691,9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Clause”). The trial court rejected each of the taxpayers’ claims, and the Court of Appeals of</w:t>
      </w:r>
      <w:r>
        <w:rPr>
          <w:color w:val="6E6158"/>
          <w:spacing w:val="40"/>
        </w:rPr>
        <w:t> </w:t>
      </w:r>
      <w:r>
        <w:rPr>
          <w:color w:val="6E6158"/>
        </w:rPr>
        <w:t>Arizona reversed, holding that the agreement violated the Gift Clause. The Arizona Supreme</w:t>
      </w:r>
      <w:r>
        <w:rPr>
          <w:color w:val="6E6158"/>
          <w:spacing w:val="40"/>
        </w:rPr>
        <w:t> </w:t>
      </w:r>
      <w:r>
        <w:rPr>
          <w:color w:val="6E6158"/>
        </w:rPr>
        <w:t>Court granted review. After hearing the case, it issued a decision early in 2010 that allowed</w:t>
      </w:r>
      <w:r>
        <w:rPr>
          <w:color w:val="6E6158"/>
          <w:spacing w:val="40"/>
        </w:rPr>
        <w:t> </w:t>
      </w:r>
      <w:r>
        <w:rPr>
          <w:color w:val="6E6158"/>
        </w:rPr>
        <w:t>the City of Phoenix sales tax incentive agreement between the City and the developer to</w:t>
      </w:r>
      <w:r>
        <w:rPr>
          <w:color w:val="6E6158"/>
          <w:spacing w:val="40"/>
        </w:rPr>
        <w:t> </w:t>
      </w:r>
      <w:r>
        <w:rPr>
          <w:color w:val="6E6158"/>
        </w:rPr>
        <w:t>stand and vacated the Court of Appeals decision on Gift Clause compliance because the</w:t>
      </w:r>
      <w:r>
        <w:rPr>
          <w:color w:val="6E6158"/>
          <w:spacing w:val="40"/>
        </w:rPr>
        <w:t> </w:t>
      </w:r>
      <w:r>
        <w:rPr>
          <w:color w:val="6E6158"/>
        </w:rPr>
        <w:t>existing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framework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unclear.</w:t>
      </w:r>
      <w:r>
        <w:rPr>
          <w:color w:val="6E6158"/>
          <w:spacing w:val="24"/>
        </w:rPr>
        <w:t> </w:t>
      </w:r>
      <w:r>
        <w:rPr>
          <w:color w:val="6E6158"/>
        </w:rPr>
        <w:t>It</w:t>
      </w:r>
      <w:r>
        <w:rPr>
          <w:color w:val="6E6158"/>
          <w:spacing w:val="24"/>
        </w:rPr>
        <w:t> </w:t>
      </w:r>
      <w:r>
        <w:rPr>
          <w:color w:val="6E6158"/>
        </w:rPr>
        <w:t>adopted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clear</w:t>
      </w:r>
      <w:r>
        <w:rPr>
          <w:color w:val="6E6158"/>
          <w:spacing w:val="24"/>
        </w:rPr>
        <w:t> </w:t>
      </w:r>
      <w:r>
        <w:rPr>
          <w:color w:val="6E6158"/>
        </w:rPr>
        <w:t>view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public</w:t>
      </w:r>
      <w:r>
        <w:rPr>
          <w:color w:val="6E6158"/>
          <w:spacing w:val="24"/>
        </w:rPr>
        <w:t> </w:t>
      </w:r>
      <w:r>
        <w:rPr>
          <w:color w:val="6E6158"/>
        </w:rPr>
        <w:t>purpose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3" w:lineRule="auto" w:before="83"/>
        <w:ind w:righ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368" id="docshape3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framework for the courts to decide whether a transaction will pass muster under the Gift Clause. </w:t>
      </w:r>
      <w:r>
        <w:rPr>
          <w:i/>
          <w:color w:val="6E6158"/>
          <w:sz w:val="20"/>
        </w:rPr>
        <w:t>Turken v. Gordon</w:t>
      </w:r>
      <w:r>
        <w:rPr>
          <w:color w:val="6E6158"/>
        </w:rPr>
        <w:t>, 223 Ariz. 342, 224 P.3d 158.</w:t>
      </w:r>
    </w:p>
    <w:p>
      <w:pPr>
        <w:pStyle w:val="BodyText"/>
        <w:spacing w:line="280" w:lineRule="auto" w:before="136"/>
        <w:ind w:right="3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326683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23118pt;width:1.65pt;height:1.65pt;mso-position-horizontal-relative:page;mso-position-vertical-relative:paragraph;z-index:15738880" id="docshape34" coordorigin="1670,514" coordsize="33,33" path="m1691,547l1682,547,1678,545,1671,539,1670,535,1670,526,1671,522,1678,516,1682,514,1691,514,1694,516,1701,522,1702,526,1702,531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decision from Court of Appeals vacating a $25 million punitive damage award in</w:t>
      </w:r>
      <w:r>
        <w:rPr>
          <w:color w:val="6E6158"/>
          <w:spacing w:val="40"/>
        </w:rPr>
        <w:t> </w:t>
      </w:r>
      <w:r>
        <w:rPr>
          <w:color w:val="6E6158"/>
        </w:rPr>
        <w:t>an action against a mental health provider accused of negligent failure to treat. </w:t>
      </w:r>
      <w:r>
        <w:rPr>
          <w:i/>
          <w:color w:val="6E6158"/>
          <w:sz w:val="20"/>
        </w:rPr>
        <w:t>Graham v.</w:t>
      </w:r>
      <w:r>
        <w:rPr>
          <w:i/>
          <w:color w:val="6E6158"/>
          <w:sz w:val="20"/>
        </w:rPr>
        <w:t> ValueOptions</w:t>
      </w:r>
      <w:r>
        <w:rPr>
          <w:color w:val="6E6158"/>
        </w:rPr>
        <w:t>, 2010 Ariz. App. Unpub. LEXIS 75.</w:t>
      </w:r>
    </w:p>
    <w:p>
      <w:pPr>
        <w:spacing w:line="285" w:lineRule="auto" w:before="130"/>
        <w:ind w:left="351" w:right="8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421141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160759pt;width:1.65pt;height:1.65pt;mso-position-horizontal-relative:page;mso-position-vertical-relative:paragraph;z-index:15739392" id="docshape35" coordorigin="1670,663" coordsize="33,33" path="m1691,696l1682,696,1678,694,1671,688,1670,684,1670,675,1671,671,1678,665,1682,663,1691,663,1694,665,1701,671,1702,675,1702,679,1702,684,1701,688,1694,694,1691,6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Represented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homebuilder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appeal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coverage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homebuilder’s insurer. Decision resulted in new coverage law favorable to business insureds. </w:t>
      </w:r>
      <w:r>
        <w:rPr>
          <w:i/>
          <w:color w:val="6E6158"/>
          <w:sz w:val="20"/>
        </w:rPr>
        <w:t>Desert Mountain</w:t>
      </w:r>
      <w:r>
        <w:rPr>
          <w:i/>
          <w:color w:val="6E6158"/>
          <w:sz w:val="20"/>
        </w:rPr>
        <w:t> Properties Limited Partnership v. Liberty Mutual Fire Ins. Co.</w:t>
      </w:r>
      <w:r>
        <w:rPr>
          <w:color w:val="6E6158"/>
          <w:sz w:val="19"/>
        </w:rPr>
        <w:t>, No. CV-10-0339-PR (Ariz. May 12,</w:t>
      </w:r>
    </w:p>
    <w:p>
      <w:pPr>
        <w:pStyle w:val="BodyText"/>
        <w:spacing w:before="2"/>
      </w:pPr>
      <w:r>
        <w:rPr>
          <w:color w:val="6E6158"/>
          <w:spacing w:val="-2"/>
        </w:rPr>
        <w:t>2011).</w:t>
      </w:r>
    </w:p>
    <w:p>
      <w:pPr>
        <w:pStyle w:val="BodyText"/>
        <w:spacing w:line="290" w:lineRule="auto" w:before="174"/>
        <w:ind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448870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44143pt;width:1.65pt;height:1.65pt;mso-position-horizontal-relative:page;mso-position-vertical-relative:paragraph;z-index:15739904" id="docshape36" coordorigin="1670,707" coordsize="33,33" path="m1691,739l1682,739,1678,738,1671,731,1670,728,1670,719,1671,715,1678,708,1682,707,1691,707,1694,708,1701,715,1702,719,1702,723,1702,728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homebuilder in a successful appeal reversing a summary judgment that</w:t>
      </w:r>
      <w:r>
        <w:rPr>
          <w:color w:val="6E6158"/>
          <w:spacing w:val="40"/>
        </w:rPr>
        <w:t> </w:t>
      </w:r>
      <w:r>
        <w:rPr>
          <w:color w:val="6E6158"/>
        </w:rPr>
        <w:t>the homebuilder’s and its contractors’ insurers did not have a duty to defend a construction</w:t>
      </w:r>
      <w:r>
        <w:rPr>
          <w:color w:val="6E6158"/>
          <w:spacing w:val="40"/>
        </w:rPr>
        <w:t> </w:t>
      </w:r>
      <w:r>
        <w:rPr>
          <w:color w:val="6E6158"/>
        </w:rPr>
        <w:t>defect lawsuit under a general liability insurance policy. </w:t>
      </w:r>
      <w:r>
        <w:rPr>
          <w:i/>
          <w:color w:val="6E6158"/>
          <w:sz w:val="20"/>
        </w:rPr>
        <w:t>Lennar Corp. v. Auto-Owners Ins. Co</w:t>
      </w:r>
      <w:r>
        <w:rPr>
          <w:color w:val="6E6158"/>
        </w:rPr>
        <w:t>., 151 P.3d 538 App. 2007.</w:t>
      </w:r>
    </w:p>
    <w:p>
      <w:pPr>
        <w:pStyle w:val="BodyText"/>
        <w:spacing w:line="292" w:lineRule="auto" w:before="127"/>
        <w:ind w:right="8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419100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00072pt;width:1.65pt;height:1.65pt;mso-position-horizontal-relative:page;mso-position-vertical-relative:paragraph;z-index:15740416" id="docshape37" coordorigin="1670,660" coordsize="33,33" path="m1691,693l1682,693,1678,691,1671,685,1670,681,1670,672,1671,668,1678,662,1682,660,1691,660,1694,662,1701,668,1702,672,1702,676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public official in an appeal resulting in an Arizona Supreme Court opinion</w:t>
      </w:r>
      <w:r>
        <w:rPr>
          <w:color w:val="6E6158"/>
          <w:spacing w:val="40"/>
        </w:rPr>
        <w:t> </w:t>
      </w:r>
      <w:r>
        <w:rPr>
          <w:color w:val="6E6158"/>
        </w:rPr>
        <w:t>establishing that personal emails of a public employee located on his or her employer’s</w:t>
      </w:r>
      <w:r>
        <w:rPr>
          <w:color w:val="6E6158"/>
          <w:spacing w:val="40"/>
        </w:rPr>
        <w:t> </w:t>
      </w:r>
      <w:r>
        <w:rPr>
          <w:color w:val="6E6158"/>
        </w:rPr>
        <w:t>computer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records</w:t>
      </w:r>
      <w:r>
        <w:rPr>
          <w:color w:val="6E6158"/>
          <w:spacing w:val="12"/>
        </w:rPr>
        <w:t> </w:t>
      </w:r>
      <w:r>
        <w:rPr>
          <w:color w:val="6E6158"/>
        </w:rPr>
        <w:t>unless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employee.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Griffis</w:t>
      </w:r>
    </w:p>
    <w:p>
      <w:pPr>
        <w:spacing w:line="230" w:lineRule="exact" w:before="0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v.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Pinal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Newspapers,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215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Ariz.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156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418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(2007).</w:t>
      </w:r>
    </w:p>
    <w:p>
      <w:pPr>
        <w:pStyle w:val="BodyText"/>
        <w:spacing w:line="285" w:lineRule="auto" w:before="180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447496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35950pt;width:1.65pt;height:1.65pt;mso-position-horizontal-relative:page;mso-position-vertical-relative:paragraph;z-index:15740928" id="docshape38" coordorigin="1670,705" coordsize="33,33" path="m1691,737l1682,737,1678,736,1671,729,1670,725,1670,716,1671,713,1678,706,1682,705,1691,705,1694,706,1701,713,1702,716,1702,721,1702,725,1701,729,1694,736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incumbent telecommunications company in a appeal to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 establishing that all telecommunications providers in the state are subject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the state constitution’s fair value requirement. </w:t>
      </w:r>
      <w:r>
        <w:rPr>
          <w:i/>
          <w:color w:val="6E6158"/>
          <w:sz w:val="20"/>
        </w:rPr>
        <w:t>US West Communications, Inc. v. Arizona</w:t>
      </w:r>
      <w:r>
        <w:rPr>
          <w:i/>
          <w:color w:val="6E6158"/>
          <w:sz w:val="20"/>
        </w:rPr>
        <w:t> Corporation Commission</w:t>
      </w:r>
      <w:r>
        <w:rPr>
          <w:color w:val="6E6158"/>
        </w:rPr>
        <w:t>, 201 Ariz. 242, 34 P.3d 351 (2001).</w:t>
      </w:r>
    </w:p>
    <w:p>
      <w:pPr>
        <w:pStyle w:val="BodyText"/>
        <w:spacing w:line="288" w:lineRule="auto" w:before="131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416641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6400pt;width:1.65pt;height:1.65pt;mso-position-horizontal-relative:page;mso-position-vertical-relative:paragraph;z-index:15741440" id="docshape39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Arizona Governor Jane Dee Hull in a special action to the Supreme Court</w:t>
      </w:r>
      <w:r>
        <w:rPr>
          <w:color w:val="6E6158"/>
          <w:spacing w:val="40"/>
        </w:rPr>
        <w:t> </w:t>
      </w:r>
      <w:r>
        <w:rPr>
          <w:color w:val="6E6158"/>
        </w:rPr>
        <w:t>concerning the constitutionality of a statute adopted to deal with the court’s mandate</w:t>
      </w:r>
      <w:r>
        <w:rPr>
          <w:color w:val="6E6158"/>
          <w:spacing w:val="40"/>
        </w:rPr>
        <w:t> </w:t>
      </w:r>
      <w:r>
        <w:rPr>
          <w:color w:val="6E6158"/>
        </w:rPr>
        <w:t>concerning funding of construction of school facilities. </w:t>
      </w:r>
      <w:r>
        <w:rPr>
          <w:i/>
          <w:color w:val="6E6158"/>
          <w:sz w:val="20"/>
        </w:rPr>
        <w:t>Hull v. Albrecht, </w:t>
      </w:r>
      <w:r>
        <w:rPr>
          <w:color w:val="6E6158"/>
        </w:rPr>
        <w:t>192 Ariz. 34, 960 P.2d 634 (1998).</w:t>
      </w:r>
    </w:p>
    <w:p>
      <w:pPr>
        <w:pStyle w:val="Heading2"/>
        <w:spacing w:before="1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162894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6345pt;width:1.65pt;height:1.65pt;mso-position-horizontal-relative:page;mso-position-vertical-relative:paragraph;z-index:15741952" id="docshape40" coordorigin="1670,257" coordsize="33,33" path="m1691,289l1682,289,1678,287,1671,281,1670,277,1670,268,1671,264,1678,258,1682,257,1691,257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88" w:lineRule="auto" w:before="165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272064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22394pt;width:1.65pt;height:1.65pt;mso-position-horizontal-relative:page;mso-position-vertical-relative:paragraph;z-index:15742464" id="docshape41" coordorigin="1670,428" coordsize="33,33" path="m1691,461l1682,461,1678,459,1671,453,1670,449,1670,440,1671,436,1678,430,1682,428,1691,428,1694,430,1701,436,1702,440,1702,445,1702,449,1701,453,1694,459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Lawyer of the Year, Litigation-Regulatory Enforcement (SEC, Telecom, Energy), 2012, 2015, 2017, 2020 &amp; 2024</w:t>
      </w:r>
    </w:p>
    <w:p>
      <w:pPr>
        <w:spacing w:before="12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156070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88998pt;width:1.65pt;height:1.65pt;mso-position-horizontal-relative:page;mso-position-vertical-relative:paragraph;z-index:15742976" id="docshape42" coordorigin="1670,246" coordsize="33,33" path="m1691,278l1682,278,1678,277,1671,270,1670,267,1670,258,1671,254,1678,247,1682,246,1691,246,1694,247,1701,254,1702,258,1702,262,1702,267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Litigation – Municipal, 2014, 2016,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88" w:lineRule="auto" w:before="165"/>
        <w:ind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272222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34853pt;width:1.65pt;height:1.65pt;mso-position-horizontal-relative:page;mso-position-vertical-relative:paragraph;z-index:15743488" id="docshape43" coordorigin="1670,429" coordsize="33,33" path="m1691,461l1682,461,1678,460,1671,453,1670,449,1670,440,1671,437,1678,430,1682,429,1691,429,1694,430,1701,437,1702,440,1702,445,1702,449,1701,453,1694,460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Appellate Practice, Communications Law</w:t>
      </w:r>
      <w:r>
        <w:rPr>
          <w:i/>
          <w:color w:val="6E6158"/>
          <w:sz w:val="20"/>
        </w:rPr>
        <w:t>, </w:t>
      </w:r>
      <w:r>
        <w:rPr>
          <w:color w:val="6E6158"/>
        </w:rPr>
        <w:t>Energy Law, Litigation – Municipal,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5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(SEC,</w:t>
      </w:r>
      <w:r>
        <w:rPr>
          <w:color w:val="6E6158"/>
          <w:spacing w:val="15"/>
        </w:rPr>
        <w:t> </w:t>
      </w:r>
      <w:r>
        <w:rPr>
          <w:color w:val="6E6158"/>
        </w:rPr>
        <w:t>Telecom,</w:t>
      </w:r>
      <w:r>
        <w:rPr>
          <w:color w:val="6E6158"/>
          <w:spacing w:val="15"/>
        </w:rPr>
        <w:t> </w:t>
      </w:r>
      <w:r>
        <w:rPr>
          <w:color w:val="6E6158"/>
        </w:rPr>
        <w:t>Energy),</w:t>
      </w:r>
      <w:r>
        <w:rPr>
          <w:color w:val="6E6158"/>
          <w:spacing w:val="15"/>
        </w:rPr>
        <w:t> </w:t>
      </w:r>
      <w:r>
        <w:rPr>
          <w:color w:val="6E6158"/>
        </w:rPr>
        <w:t>Utilities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145894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7738pt;width:1.65pt;height:1.65pt;mso-position-horizontal-relative:page;mso-position-vertical-relative:paragraph;z-index:15744000" id="docshape44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2012,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2012-2013,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2015-2016,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5" coordorigin="0,0" coordsize="33,33">
                <v:shape style="position:absolute;left:0;top:0;width:33;height:33" id="docshape4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8"/>
      </w:pP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spacing w:line="398" w:lineRule="auto" w:before="167"/>
        <w:ind w:left="351" w:right="30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185501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6449pt;width:1.65pt;height:1.65pt;mso-position-horizontal-relative:page;mso-position-vertical-relative:paragraph;z-index:15744512" id="docshape47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454201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763889pt;width:1.65pt;height:1.65pt;mso-position-horizontal-relative:page;mso-position-vertical-relative:paragraph;z-index:15745024" id="docshape48" coordorigin="1670,715" coordsize="33,33" path="m1691,748l1682,748,1678,746,1671,740,1670,736,1670,727,1671,723,1678,717,1682,715,1691,715,1694,717,1701,723,1702,727,1702,732,1702,736,1701,740,1694,746,1691,7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Appellate and Utilities, 2007-</w:t>
      </w:r>
      <w:r>
        <w:rPr>
          <w:color w:val="6E6158"/>
          <w:sz w:val="19"/>
        </w:rPr>
        <w:t>2024 Top 100 Lawyers in Arizona, </w:t>
      </w:r>
      <w:r>
        <w:rPr>
          <w:i/>
          <w:color w:val="6E6158"/>
          <w:sz w:val="20"/>
        </w:rPr>
        <w:t>AZ Big Media</w:t>
      </w:r>
      <w:r>
        <w:rPr>
          <w:color w:val="6E6158"/>
          <w:sz w:val="19"/>
        </w:rPr>
        <w:t>, 2020, 2022-2023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80995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77622pt;width:1.65pt;height:1.65pt;mso-position-horizontal-relative:page;mso-position-vertical-relative:paragraph;z-index:15745536" id="docshape49" coordorigin="1670,128" coordsize="33,33" path="m1691,160l1682,160,1678,159,1671,152,1670,148,1670,139,1671,135,1678,129,1682,128,1691,128,1694,129,1701,135,1702,139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2011,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184234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678pt;width:1.65pt;height:1.65pt;mso-position-horizontal-relative:page;mso-position-vertical-relative:paragraph;z-index:15746048" id="docshape50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line="398" w:lineRule="auto" w:before="164"/>
        <w:ind w:left="351" w:right="152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183881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8837pt;width:1.65pt;height:1.65pt;mso-position-horizontal-relative:page;mso-position-vertical-relative:paragraph;z-index:15746560" id="docshape51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452580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36276pt;width:1.65pt;height:1.65pt;mso-position-horizontal-relative:page;mso-position-vertical-relative:paragraph;z-index:15747072" id="docshape52" coordorigin="1670,713" coordsize="33,33" path="m1691,745l1682,745,1678,744,1671,737,1670,733,1670,725,1671,721,1678,714,1682,713,1691,713,1694,714,1701,721,1702,725,1702,729,1702,733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Appellate Practice, 2011, 2018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after="0" w:line="39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line="398" w:lineRule="auto" w:before="73"/>
        <w:ind w:left="351" w:right="12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8096" id="docshape5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48608" id="docshape5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Benchmark: Appellate</w:t>
      </w:r>
      <w:r>
        <w:rPr>
          <w:color w:val="6E6158"/>
          <w:sz w:val="19"/>
        </w:rPr>
        <w:t>, Leading Appellate Practitioner, Ninth Circuit, 2012-</w:t>
      </w:r>
      <w:r>
        <w:rPr>
          <w:color w:val="6E6158"/>
          <w:sz w:val="19"/>
        </w:rPr>
        <w:t>2013 Most Admired CEO Award recipient –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2012</w:t>
      </w:r>
    </w:p>
    <w:p>
      <w:pPr>
        <w:pStyle w:val="BodyText"/>
        <w:spacing w:line="408" w:lineRule="auto" w:before="8"/>
        <w:ind w:right="1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71015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1751pt;width:1.65pt;height:1.65pt;mso-position-horizontal-relative:page;mso-position-vertical-relative:paragraph;z-index:15749120" id="docshape55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329380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5501pt;width:1.65pt;height:1.65pt;mso-position-horizontal-relative:page;mso-position-vertical-relative:paragraph;z-index:15749632" id="docshape56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 Best Lawyers, </w:t>
      </w:r>
      <w:r>
        <w:rPr>
          <w:color w:val="6E6158"/>
        </w:rPr>
        <w:t>Appellate Practice and Commercial Litigation, </w:t>
      </w:r>
      <w:r>
        <w:rPr>
          <w:color w:val="6E6158"/>
        </w:rPr>
        <w:t>2011 Distinguished Citizen Award, University of Arizona Alumni Association, 2001</w:t>
      </w:r>
    </w:p>
    <w:p>
      <w:pPr>
        <w:pStyle w:val="BodyText"/>
        <w:spacing w:before="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71650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41744pt;width:1.65pt;height:1.65pt;mso-position-horizontal-relative:page;mso-position-vertical-relative:paragraph;z-index:15750144" id="docshape57" coordorigin="1670,113" coordsize="33,33" path="m1691,145l1682,145,1678,144,1671,137,1670,134,1670,125,1671,121,1678,114,1682,113,1691,113,1694,114,1701,121,1702,125,1702,129,1702,134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Selected,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Environmental,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184003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847pt;width:1.65pt;height:1.65pt;mso-position-horizontal-relative:page;mso-position-vertical-relative:paragraph;z-index:15750656" id="docshape5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2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245410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669pt;width:1.65pt;height:1.65pt;mso-position-horizontal-relative:page;mso-position-vertical-relative:paragraph;z-index:15751168" id="docshape59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2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230981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496pt;width:1.65pt;height:1.65pt;mso-position-horizontal-relative:page;mso-position-vertical-relative:paragraph;z-index:15751680" id="docshape6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An ounce of prevention goes a long way to avoid wire hacking schemes: 4 </w:t>
        </w:r>
        <w:r>
          <w:rPr>
            <w:color w:val="F5821F"/>
          </w:rPr>
          <w:t>tips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for businesses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31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235691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372pt;width:1.65pt;height:1.65pt;mso-position-horizontal-relative:page;mso-position-vertical-relative:paragraph;z-index:15752192" id="docshape6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30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235956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250pt;width:1.65pt;height:1.65pt;mso-position-horizontal-relative:page;mso-position-vertical-relative:paragraph;z-index:15752704" id="docshape6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4">
        <w:r>
          <w:rPr>
            <w:color w:val="F5821F"/>
          </w:rPr>
          <w:t>Arizona ranchers appeal water rights case involving Gila River Indian </w:t>
        </w:r>
        <w:r>
          <w:rPr>
            <w:color w:val="F5821F"/>
          </w:rPr>
          <w:t>Community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KJZZ, February 10, 2025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224300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438pt;width:1.65pt;height:1.65pt;mso-position-horizontal-relative:page;mso-position-vertical-relative:paragraph;z-index:15753216" id="docshape6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“Judicial Retention Becomes Political in 2024,” Arizona Capitol Times, December </w:t>
      </w:r>
      <w:r>
        <w:rPr>
          <w:color w:val="6E6158"/>
        </w:rPr>
        <w:t>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235995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314pt;width:1.65pt;height:1.65pt;mso-position-horizontal-relative:page;mso-position-vertical-relative:paragraph;z-index:15753728" id="docshape6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317349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8127pt;width:1.65pt;height:1.65pt;mso-position-horizontal-relative:page;mso-position-vertical-relative:paragraph;z-index:15754240" id="docshape65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“Arizona Merit Selection and Retention Elections: A Nonpartisan Discussion,” Christian Legal Society student chapter at the Sandra Day O’Connor College of Law </w:t>
      </w:r>
      <w:r>
        <w:rPr>
          <w:color w:val="6E6158"/>
        </w:rPr>
        <w:t>at Arizona State University, October 3, 2024</w:t>
      </w:r>
    </w:p>
    <w:p>
      <w:pPr>
        <w:pStyle w:val="BodyText"/>
        <w:spacing w:line="292" w:lineRule="auto" w:before="13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236418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5629pt;width:1.65pt;height:1.65pt;mso-position-horizontal-relative:page;mso-position-vertical-relative:paragraph;z-index:15754752" id="docshape66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Their Take: Merit Selection – A Respected Arizona System of Judge Selection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Worth Preserving</w:t>
        </w:r>
      </w:hyperlink>
      <w:r>
        <w:rPr>
          <w:color w:val="6E6158"/>
        </w:rPr>
        <w:t>,” Greater Phoenix InBusiness Magazine, June 5, 2024</w:t>
      </w:r>
    </w:p>
    <w:p>
      <w:pPr>
        <w:pStyle w:val="BodyText"/>
        <w:spacing w:line="292" w:lineRule="auto" w:before="12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230881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634pt;width:1.65pt;height:1.65pt;mso-position-horizontal-relative:page;mso-position-vertical-relative:paragraph;z-index:15755264" id="docshape6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Alert, December 29, 2023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143215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841pt;width:1.65pt;height:1.65pt;mso-position-horizontal-relative:page;mso-position-vertical-relative:paragraph;z-index:15755776" id="docshape68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“Write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Better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Brief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Less</w:t>
      </w:r>
      <w:r>
        <w:rPr>
          <w:color w:val="6E6158"/>
          <w:spacing w:val="11"/>
        </w:rPr>
        <w:t> </w:t>
      </w:r>
      <w:r>
        <w:rPr>
          <w:color w:val="6E6158"/>
        </w:rPr>
        <w:t>Time,”</w:t>
      </w:r>
      <w:r>
        <w:rPr>
          <w:color w:val="6E6158"/>
          <w:spacing w:val="11"/>
        </w:rPr>
        <w:t> </w:t>
      </w:r>
      <w:r>
        <w:rPr>
          <w:color w:val="6E6158"/>
        </w:rPr>
        <w:t>Bloomberg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11,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262845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527pt;width:1.65pt;height:1.65pt;mso-position-horizontal-relative:page;mso-position-vertical-relative:paragraph;z-index:15756288" id="docshape69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“Bench Bar Breakfast (State Bar of Texas Annual Meeting 2023),” Legal Talk Network, July 3, 2023</w:t>
      </w:r>
    </w:p>
    <w:p>
      <w:pPr>
        <w:pStyle w:val="BodyText"/>
        <w:spacing w:line="292" w:lineRule="auto" w:before="131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29pt;width:1.65pt;height:1.65pt;mso-position-horizontal-relative:page;mso-position-vertical-relative:paragraph;z-index:15756800" id="docshape7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“Uniform Laws and the Uniform Law Commission,” Bench Bar Breakfast, State Bar of</w:t>
      </w:r>
      <w:r>
        <w:rPr>
          <w:color w:val="6E6158"/>
          <w:spacing w:val="40"/>
        </w:rPr>
        <w:t> </w:t>
      </w:r>
      <w:r>
        <w:rPr>
          <w:color w:val="6E6158"/>
        </w:rPr>
        <w:t>Texas Annual Meeting, June 22,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143058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42pt;width:1.65pt;height:1.65pt;mso-position-horizontal-relative:page;mso-position-vertical-relative:paragraph;z-index:15757312" id="docshape7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15" w:lineRule="auto" w:before="164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175392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457pt;width:1.65pt;height:1.65pt;mso-position-horizontal-relative:page;mso-position-vertical-relative:paragraph;z-index:15757824" id="docshape7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433758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4202pt;width:1.65pt;height:1.65pt;mso-position-horizontal-relative:page;mso-position-vertical-relative:paragraph;z-index:15758336" id="docshape7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Is the Purpose of the Preamble to the Constitution,” </w:t>
      </w:r>
      <w:r>
        <w:rPr>
          <w:i/>
          <w:color w:val="6E6158"/>
          <w:sz w:val="20"/>
        </w:rPr>
        <w:t>UpJourney</w:t>
      </w:r>
      <w:r>
        <w:rPr>
          <w:color w:val="6E6158"/>
        </w:rPr>
        <w:t>, April 19, 2021 Quoted,</w:t>
      </w:r>
      <w:r>
        <w:rPr>
          <w:color w:val="6E6158"/>
          <w:spacing w:val="26"/>
        </w:rPr>
        <w:t> </w:t>
      </w:r>
      <w:r>
        <w:rPr>
          <w:color w:val="6E6158"/>
        </w:rPr>
        <w:t>“What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Electoral</w:t>
      </w:r>
      <w:r>
        <w:rPr>
          <w:color w:val="6E6158"/>
          <w:spacing w:val="26"/>
        </w:rPr>
        <w:t> </w:t>
      </w:r>
      <w:r>
        <w:rPr>
          <w:color w:val="6E6158"/>
        </w:rPr>
        <w:t>College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how</w:t>
      </w:r>
      <w:r>
        <w:rPr>
          <w:color w:val="6E6158"/>
          <w:spacing w:val="26"/>
        </w:rPr>
        <w:t> </w:t>
      </w:r>
      <w:r>
        <w:rPr>
          <w:color w:val="6E6158"/>
        </w:rPr>
        <w:t>does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  <w:r>
        <w:rPr>
          <w:color w:val="6E6158"/>
          <w:spacing w:val="26"/>
        </w:rPr>
        <w:t> </w:t>
      </w:r>
      <w:r>
        <w:rPr>
          <w:color w:val="6E6158"/>
        </w:rPr>
        <w:t>work?”</w:t>
      </w:r>
      <w:r>
        <w:rPr>
          <w:color w:val="6E6158"/>
          <w:spacing w:val="26"/>
        </w:rPr>
        <w:t> </w:t>
      </w:r>
      <w:r>
        <w:rPr>
          <w:color w:val="6E6158"/>
        </w:rPr>
        <w:t>Today,</w:t>
      </w:r>
      <w:r>
        <w:rPr>
          <w:color w:val="6E6158"/>
          <w:spacing w:val="26"/>
        </w:rPr>
        <w:t> </w:t>
      </w:r>
      <w:r>
        <w:rPr>
          <w:color w:val="6E6158"/>
        </w:rPr>
        <w:t>October</w:t>
      </w:r>
      <w:r>
        <w:rPr>
          <w:color w:val="6E6158"/>
          <w:spacing w:val="26"/>
        </w:rPr>
        <w:t> </w:t>
      </w:r>
      <w:r>
        <w:rPr>
          <w:color w:val="6E6158"/>
        </w:rPr>
        <w:t>8,</w:t>
      </w:r>
      <w:r>
        <w:rPr>
          <w:color w:val="6E6158"/>
          <w:spacing w:val="26"/>
        </w:rPr>
        <w:t> </w:t>
      </w:r>
      <w:r>
        <w:rPr>
          <w:color w:val="6E6158"/>
        </w:rPr>
        <w:t>2020</w:t>
      </w:r>
    </w:p>
    <w:p>
      <w:pPr>
        <w:spacing w:line="278" w:lineRule="auto" w:before="0"/>
        <w:ind w:left="351" w:right="10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155704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60194pt;width:1.65pt;height:1.65pt;mso-position-horizontal-relative:page;mso-position-vertical-relative:paragraph;z-index:15758848" id="docshape74" coordorigin="1670,245" coordsize="33,33" path="m1691,278l1682,278,1678,276,1671,270,1670,266,1670,257,1671,253,1678,247,1682,245,1691,245,1694,247,1701,253,1702,257,1702,261,1702,266,1701,270,1694,276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“Supreme Court Refuses to Hear Arizona Rental Car Tax Lawsuit,”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Journal, </w:t>
      </w:r>
      <w:r>
        <w:rPr>
          <w:color w:val="6E6158"/>
          <w:sz w:val="19"/>
        </w:rPr>
        <w:t>October 7, 2019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1060346</wp:posOffset>
                </wp:positionH>
                <wp:positionV relativeFrom="paragraph">
                  <wp:posOffset>238843</wp:posOffset>
                </wp:positionV>
                <wp:extent cx="20955" cy="2095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599pt;width:1.65pt;height:1.65pt;mso-position-horizontal-relative:page;mso-position-vertical-relative:paragraph;z-index:-15709696;mso-wrap-distance-left:0;mso-wrap-distance-right:0" id="docshape75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“Judge</w:t>
      </w:r>
      <w:r>
        <w:rPr>
          <w:color w:val="6E6158"/>
          <w:spacing w:val="12"/>
        </w:rPr>
        <w:t> </w:t>
      </w:r>
      <w:r>
        <w:rPr>
          <w:color w:val="6E6158"/>
        </w:rPr>
        <w:t>Denies</w:t>
      </w:r>
      <w:r>
        <w:rPr>
          <w:color w:val="6E6158"/>
          <w:spacing w:val="12"/>
        </w:rPr>
        <w:t> </w:t>
      </w:r>
      <w:r>
        <w:rPr>
          <w:color w:val="6E6158"/>
        </w:rPr>
        <w:t>State’s</w:t>
      </w:r>
      <w:r>
        <w:rPr>
          <w:color w:val="6E6158"/>
          <w:spacing w:val="12"/>
        </w:rPr>
        <w:t> </w:t>
      </w:r>
      <w:r>
        <w:rPr>
          <w:color w:val="6E6158"/>
        </w:rPr>
        <w:t>Request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Let</w:t>
      </w:r>
      <w:r>
        <w:rPr>
          <w:color w:val="6E6158"/>
          <w:spacing w:val="12"/>
        </w:rPr>
        <w:t> </w:t>
      </w:r>
      <w:r>
        <w:rPr>
          <w:color w:val="6E6158"/>
        </w:rPr>
        <w:t>‘Dark</w:t>
      </w:r>
      <w:r>
        <w:rPr>
          <w:color w:val="6E6158"/>
          <w:spacing w:val="12"/>
        </w:rPr>
        <w:t> </w:t>
      </w:r>
      <w:r>
        <w:rPr>
          <w:color w:val="6E6158"/>
        </w:rPr>
        <w:t>Money’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Stand</w:t>
      </w:r>
      <w:r>
        <w:rPr>
          <w:color w:val="6E6158"/>
          <w:spacing w:val="12"/>
        </w:rPr>
        <w:t> </w:t>
      </w:r>
      <w:r>
        <w:rPr>
          <w:color w:val="6E6158"/>
        </w:rPr>
        <w:t>During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Appeal,”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5,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261570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6117pt;width:1.65pt;height:1.65pt;mso-position-horizontal-relative:page;mso-position-vertical-relative:paragraph;z-index:15759360" id="docshape76" coordorigin="1670,412" coordsize="33,33" path="m1691,444l1682,444,1678,443,1671,437,1670,433,1670,424,1671,420,1678,414,1682,412,1691,412,1694,414,1701,420,1702,424,1702,428,1702,433,1701,437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“Splitting Circuits: Past Results and Present Prospects,” 2018 AAAL Fall Meeting, October 5,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8" w:lineRule="auto" w:before="7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9872" id="docshape7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146105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4374pt;width:1.65pt;height:1.65pt;mso-position-horizontal-relative:page;mso-position-vertical-relative:paragraph;z-index:15760384" id="docshape78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“Uniform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Commission,”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Attorney</w:t>
      </w:r>
      <w:r>
        <w:rPr>
          <w:color w:val="6E6158"/>
          <w:sz w:val="19"/>
        </w:rPr>
        <w:t>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168749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87382pt;width:1.65pt;height:1.65pt;mso-position-horizontal-relative:page;mso-position-vertical-relative:paragraph;z-index:15760896" id="docshape79" coordorigin="1670,266" coordsize="33,33" path="m1691,298l1682,298,1678,297,1671,290,1670,287,1670,278,1671,274,1678,267,1682,266,1691,266,1694,267,1701,274,1702,278,1702,282,1702,287,1701,290,1694,297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“Attorneys’ Fees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on Appeal,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Chapter Nine,”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Attorneys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Fees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Manual,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Ed.</w:t>
      </w:r>
    </w:p>
    <w:p>
      <w:pPr>
        <w:spacing w:line="278" w:lineRule="auto" w:before="162"/>
        <w:ind w:left="351" w:right="105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261544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4049pt;width:1.65pt;height:1.65pt;mso-position-horizontal-relative:page;mso-position-vertical-relative:paragraph;z-index:15761408" id="docshape80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“Attorneys’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Fees,”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Eleven,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Appellate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Handbook,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Vol.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3d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4th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Edition</w:t>
      </w:r>
    </w:p>
    <w:p>
      <w:pPr>
        <w:pStyle w:val="Heading2"/>
        <w:spacing w:before="1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152520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9515pt;width:1.65pt;height:1.65pt;mso-position-horizontal-relative:page;mso-position-vertical-relative:paragraph;z-index:15761920" id="docshape8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263259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059pt;width:1.65pt;height:1.65pt;mso-position-horizontal-relative:page;mso-position-vertical-relative:paragraph;z-index:15762432" id="docshape82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President, Uniform Law Commission (One of only two presidents from Arizona to have</w:t>
      </w:r>
      <w:r>
        <w:rPr>
          <w:color w:val="6E6158"/>
          <w:spacing w:val="40"/>
        </w:rPr>
        <w:t> </w:t>
      </w:r>
      <w:r>
        <w:rPr>
          <w:color w:val="6E6158"/>
        </w:rPr>
        <w:t>held this position)</w:t>
      </w:r>
    </w:p>
    <w:p>
      <w:pPr>
        <w:pStyle w:val="BodyText"/>
        <w:spacing w:line="427" w:lineRule="auto" w:before="124"/>
        <w:ind w:right="4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143208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26pt;width:1.65pt;height:1.65pt;mso-position-horizontal-relative:page;mso-position-vertical-relative:paragraph;z-index:15762944" id="docshape83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401574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008pt;width:1.65pt;height:1.65pt;mso-position-horizontal-relative:page;mso-position-vertical-relative:paragraph;z-index:15763456" id="docshape8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Arizona Equal Justice </w:t>
      </w:r>
      <w:r>
        <w:rPr>
          <w:color w:val="6E6158"/>
        </w:rPr>
        <w:t>Campaign Member, Greater Phoenix Leadership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59750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4774pt;width:1.65pt;height:1.65pt;mso-position-horizontal-relative:page;mso-position-vertical-relative:paragraph;z-index:15763968" id="docshape85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Commission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Uniform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Laws</w:t>
      </w:r>
    </w:p>
    <w:p>
      <w:pPr>
        <w:pStyle w:val="BodyText"/>
        <w:spacing w:line="427" w:lineRule="auto" w:before="174"/>
        <w:ind w:right="3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174908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286pt;width:1.65pt;height:1.65pt;mso-position-horizontal-relative:page;mso-position-vertical-relative:paragraph;z-index:15764480" id="docshape8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433273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6035pt;width:1.65pt;height:1.65pt;mso-position-horizontal-relative:page;mso-position-vertical-relative:paragraph;z-index:15764992" id="docshape8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Appellate Handbook Committee, State Bar of </w:t>
      </w:r>
      <w:r>
        <w:rPr>
          <w:color w:val="6E6158"/>
        </w:rPr>
        <w:t>Arizona Member, Board of Directors, Arizona Law College Association</w:t>
      </w:r>
    </w:p>
    <w:p>
      <w:pPr>
        <w:pStyle w:val="BodyText"/>
        <w:spacing w:line="420" w:lineRule="auto"/>
        <w:ind w:right="3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54533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3955pt;width:1.65pt;height:1.65pt;mso-position-horizontal-relative:page;mso-position-vertical-relative:paragraph;z-index:15765504" id="docshape88" coordorigin="1670,86" coordsize="33,33" path="m1691,118l1682,118,1678,117,1671,110,1670,107,1670,98,1671,94,1678,87,1682,86,1691,86,1694,87,1701,94,1702,98,1702,102,1702,107,1701,110,1694,117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318066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458pt;width:1.65pt;height:1.65pt;mso-position-horizontal-relative:page;mso-position-vertical-relative:paragraph;z-index:15766016" id="docshape89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Board of Directors, Herberger Theater Center Past President, American Academy of Appellate </w:t>
      </w:r>
      <w:r>
        <w:rPr>
          <w:color w:val="6E6158"/>
        </w:rPr>
        <w:t>Lawyers</w:t>
      </w:r>
    </w:p>
    <w:p>
      <w:pPr>
        <w:pStyle w:val="BodyText"/>
        <w:spacing w:line="302" w:lineRule="auto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151704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52pt;width:1.65pt;height:1.65pt;mso-position-horizontal-relative:page;mso-position-vertical-relative:paragraph;z-index:15766528" id="docshape90" coordorigin="1670,239" coordsize="33,33" path="m1691,271l1682,271,1678,270,1671,264,1670,260,1670,251,1671,247,1678,240,1682,239,1691,239,1694,240,1701,247,1702,251,1702,255,1702,260,1701,264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Executive Committee, National Conference of Commissioners on Uniform </w:t>
      </w:r>
      <w:r>
        <w:rPr>
          <w:color w:val="6E6158"/>
        </w:rPr>
        <w:t>State </w:t>
      </w:r>
      <w:r>
        <w:rPr>
          <w:color w:val="6E6158"/>
          <w:spacing w:val="-4"/>
        </w:rPr>
        <w:t>Laws</w:t>
      </w:r>
    </w:p>
    <w:p>
      <w:pPr>
        <w:pStyle w:val="BodyText"/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130309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60568pt;width:1.65pt;height:1.65pt;mso-position-horizontal-relative:page;mso-position-vertical-relative:paragraph;z-index:15767040" id="docshape91" coordorigin="1670,205" coordsize="33,33" path="m1691,238l1682,238,1678,236,1671,230,1670,226,1670,217,1671,213,1678,207,1682,205,1691,205,1694,207,1701,213,1702,217,1702,221,1702,226,1701,230,1694,236,1691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Trustees,</w:t>
      </w:r>
      <w:r>
        <w:rPr>
          <w:color w:val="6E6158"/>
          <w:spacing w:val="9"/>
        </w:rPr>
        <w:t> </w:t>
      </w:r>
      <w:r>
        <w:rPr>
          <w:color w:val="6E6158"/>
        </w:rPr>
        <w:t>Maricopa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157982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604pt;width:1.65pt;height:1.65pt;mso-position-horizontal-relative:page;mso-position-vertical-relative:paragraph;z-index:15767552" id="docshape9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175077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666pt;width:1.65pt;height:1.65pt;mso-position-horizontal-relative:page;mso-position-vertical-relative:paragraph;z-index:15768064" id="docshape9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Supreme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169947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703pt;width:1.65pt;height:1.65pt;mso-position-horizontal-relative:page;mso-position-vertical-relative:paragraph;z-index:15768576" id="docshape94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175064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614pt;width:1.65pt;height:1.65pt;mso-position-horizontal-relative:page;mso-position-vertical-relative:paragraph;z-index:15769088" id="docshape9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D.C.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175014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652pt;width:1.65pt;height:1.65pt;mso-position-horizontal-relative:page;mso-position-vertical-relative:paragraph;z-index:15769600" id="docshape9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174964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714pt;width:1.65pt;height:1.65pt;mso-position-horizontal-relative:page;mso-position-vertical-relative:paragraph;z-index:15770112" id="docshape9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Second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169833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2752pt;width:1.65pt;height:1.65pt;mso-position-horizontal-relative:page;mso-position-vertical-relative:paragraph;z-index:15770624" id="docshape98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Fifth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174950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14pt;width:1.65pt;height:1.65pt;mso-position-horizontal-relative:page;mso-position-vertical-relative:paragraph;z-index:15771136" id="docshape99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174899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652pt;width:1.65pt;height:1.65pt;mso-position-horizontal-relative:page;mso-position-vertical-relative:paragraph;z-index:15771648" id="docshape10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0" w:lineRule="auto" w:before="182"/>
        <w:ind w:right="4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174849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691pt;width:1.65pt;height:1.65pt;mso-position-horizontal-relative:page;mso-position-vertical-relative:paragraph;z-index:15772160" id="docshape10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438382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1833pt;width:1.65pt;height:1.65pt;mso-position-horizontal-relative:page;mso-position-vertical-relative:paragraph;z-index:15772672" id="docshape102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Court of Appeals, Eleventh </w:t>
      </w:r>
      <w:r>
        <w:rPr>
          <w:color w:val="6E6158"/>
        </w:rPr>
        <w:t>Circuit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berg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bizjournals.com/phoenix/news/2025/03/01/wire-hacking-schemes-prevention-businesses.html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kjzz.org/tribal-natural-resources/2025-02-10/arizona-ranchers-appeal-water-rights-case-involving-gila-river-indian-community" TargetMode="External"/><Relationship Id="rId15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6" Type="http://schemas.openxmlformats.org/officeDocument/2006/relationships/hyperlink" Target="https://inbusinessphx.com/government-compliance/their-take-merit-selection-a-respected-arizona-system-of-judge-selection-worth-preserving" TargetMode="External"/><Relationship Id="rId17" Type="http://schemas.openxmlformats.org/officeDocument/2006/relationships/hyperlink" Target="https://www.fennemorelaw.com/wp-content/uploads/2023/12/Corporate-Formation-Filings-and-Deadlines-Fennemore-Notice-to-Clients-re-CTA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J. Berg - Fennemore</dc:title>
  <dcterms:created xsi:type="dcterms:W3CDTF">2026-01-29T01:13:29Z</dcterms:created>
  <dcterms:modified xsi:type="dcterms:W3CDTF">2026-01-29T01:13:29Z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