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9310"/>
                <wp:effectExtent l="0" t="0" r="0" b="253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9310"/>
                          <a:chExt cx="6071870" cy="336931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Travis Pachec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10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68" w:right="57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TRAVIS A.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PACHECO</w:t>
                              </w:r>
                            </w:p>
                            <w:p>
                              <w:pPr>
                                <w:spacing w:before="64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568" w:right="57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602.916.5736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602.916.5936</w:t>
                              </w:r>
                            </w:p>
                            <w:p>
                              <w:pPr>
                                <w:spacing w:before="119"/>
                                <w:ind w:left="568" w:right="57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tpacheco@fennemorelaw.com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5.3pt;mso-position-horizontal-relative:char;mso-position-vertical-relative:line" id="docshapegroup1" coordorigin="0,0" coordsize="9562,5306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83" type="#_x0000_t75" id="docshape3" alt="Travis Pacheco" stroked="false">
                  <v:imagedata r:id="rId7" o:title=""/>
                </v:shape>
                <v:rect style="position:absolute;left:4784;top:423;width:4777;height:4883" id="docshape4" filled="true" fillcolor="#262424" stroked="false">
                  <v:fill type="solid"/>
                </v:rect>
                <v:shape style="position:absolute;left:5500;top:2913;width:3337;height:505" id="docshape5" coordorigin="5501,2913" coordsize="3337,505" path="m8837,3410l5501,3410,5501,3418,8837,3418,8837,3410xm8837,2913l5501,2913,5501,2921,8837,2921,8837,2913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83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68" w:right="57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TRAVIS A.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PACHECO</w:t>
                        </w:r>
                      </w:p>
                      <w:p>
                        <w:pPr>
                          <w:spacing w:before="64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568" w:right="57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602.916.5736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602.916.5936</w:t>
                        </w:r>
                      </w:p>
                      <w:p>
                        <w:pPr>
                          <w:spacing w:before="119"/>
                          <w:ind w:left="568" w:right="57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tpacheco@fennemorelaw.com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74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TRAVIS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PACHECO</w:t>
      </w:r>
    </w:p>
    <w:p>
      <w:pPr>
        <w:pStyle w:val="BodyText"/>
        <w:spacing w:line="302" w:lineRule="auto" w:before="146"/>
        <w:ind w:left="99" w:right="620"/>
      </w:pPr>
      <w:r>
        <w:rPr>
          <w:color w:val="6E6158"/>
        </w:rPr>
        <w:t>Travis practices in the area of employment and labor. He has litigated cases involving enforcement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restrictive</w:t>
      </w:r>
      <w:r>
        <w:rPr>
          <w:color w:val="6E6158"/>
          <w:spacing w:val="24"/>
        </w:rPr>
        <w:t> </w:t>
      </w:r>
      <w:r>
        <w:rPr>
          <w:color w:val="6E6158"/>
        </w:rPr>
        <w:t>covenant</w:t>
      </w:r>
      <w:r>
        <w:rPr>
          <w:color w:val="6E6158"/>
          <w:spacing w:val="24"/>
        </w:rPr>
        <w:t> </w:t>
      </w:r>
      <w:r>
        <w:rPr>
          <w:color w:val="6E6158"/>
        </w:rPr>
        <w:t>agreements,</w:t>
      </w:r>
      <w:r>
        <w:rPr>
          <w:color w:val="6E6158"/>
          <w:spacing w:val="24"/>
        </w:rPr>
        <w:t> </w:t>
      </w:r>
      <w:r>
        <w:rPr>
          <w:color w:val="6E6158"/>
        </w:rPr>
        <w:t>including</w:t>
      </w:r>
      <w:r>
        <w:rPr>
          <w:color w:val="6E6158"/>
          <w:spacing w:val="24"/>
        </w:rPr>
        <w:t> </w:t>
      </w:r>
      <w:r>
        <w:rPr>
          <w:color w:val="6E6158"/>
        </w:rPr>
        <w:t>noncompete</w:t>
      </w:r>
      <w:r>
        <w:rPr>
          <w:color w:val="6E6158"/>
          <w:spacing w:val="24"/>
        </w:rPr>
        <w:t> </w:t>
      </w:r>
      <w:r>
        <w:rPr>
          <w:color w:val="6E6158"/>
        </w:rPr>
        <w:t>agreements,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0"/>
        <w:ind w:left="99" w:right="620"/>
      </w:pPr>
      <w:r>
        <w:rPr>
          <w:color w:val="6E6158"/>
        </w:rPr>
        <w:t>employee wage and hour claims. He has also successfully defended employers against </w:t>
      </w:r>
      <w:r>
        <w:rPr>
          <w:color w:val="6E6158"/>
        </w:rPr>
        <w:t>charges</w:t>
      </w:r>
      <w:r>
        <w:rPr>
          <w:color w:val="6E6158"/>
          <w:spacing w:val="80"/>
        </w:rPr>
        <w:t> </w:t>
      </w:r>
      <w:r>
        <w:rPr>
          <w:color w:val="6E6158"/>
        </w:rPr>
        <w:t>of employment discrimination, harassment, and wrongful termination claims filed with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agencies,</w:t>
      </w:r>
      <w:r>
        <w:rPr>
          <w:color w:val="6E6158"/>
          <w:spacing w:val="33"/>
        </w:rPr>
        <w:t> </w:t>
      </w:r>
      <w:r>
        <w:rPr>
          <w:color w:val="6E6158"/>
        </w:rPr>
        <w:t>including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EEOC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Attorney</w:t>
      </w:r>
      <w:r>
        <w:rPr>
          <w:color w:val="6E6158"/>
          <w:spacing w:val="33"/>
        </w:rPr>
        <w:t> </w:t>
      </w:r>
      <w:r>
        <w:rPr>
          <w:color w:val="6E6158"/>
        </w:rPr>
        <w:t>General’s</w:t>
      </w:r>
      <w:r>
        <w:rPr>
          <w:color w:val="6E6158"/>
          <w:spacing w:val="33"/>
        </w:rPr>
        <w:t> </w:t>
      </w:r>
      <w:r>
        <w:rPr>
          <w:color w:val="6E6158"/>
        </w:rPr>
        <w:t>Civil</w:t>
      </w:r>
      <w:r>
        <w:rPr>
          <w:color w:val="6E6158"/>
          <w:spacing w:val="33"/>
        </w:rPr>
        <w:t> </w:t>
      </w:r>
      <w:r>
        <w:rPr>
          <w:color w:val="6E6158"/>
        </w:rPr>
        <w:t>Rights</w:t>
      </w:r>
      <w:r>
        <w:rPr>
          <w:color w:val="6E6158"/>
          <w:spacing w:val="33"/>
        </w:rPr>
        <w:t> </w:t>
      </w:r>
      <w:r>
        <w:rPr>
          <w:color w:val="6E6158"/>
        </w:rPr>
        <w:t>Division.</w:t>
      </w:r>
    </w:p>
    <w:p>
      <w:pPr>
        <w:pStyle w:val="BodyText"/>
        <w:spacing w:line="292" w:lineRule="auto" w:before="1"/>
        <w:ind w:left="99" w:right="620"/>
      </w:pPr>
      <w:r>
        <w:rPr>
          <w:color w:val="6E6158"/>
        </w:rPr>
        <w:t>Travis assists employers and HR personnel by navigating them through the broad spectrum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employment laws to ensure compliance, drafting employment handbook</w:t>
      </w:r>
      <w:r>
        <w:rPr>
          <w:color w:val="6E6158"/>
          <w:spacing w:val="40"/>
        </w:rPr>
        <w:t> </w:t>
      </w:r>
      <w:r>
        <w:rPr>
          <w:color w:val="6E6158"/>
        </w:rPr>
        <w:t>policies, and by drafting and enforcing various employment agreements.</w:t>
      </w:r>
    </w:p>
    <w:p>
      <w:pPr>
        <w:pStyle w:val="BodyText"/>
        <w:spacing w:line="302" w:lineRule="auto" w:before="197"/>
        <w:ind w:left="99" w:right="574"/>
      </w:pPr>
      <w:r>
        <w:rPr>
          <w:color w:val="6E6158"/>
        </w:rPr>
        <w:t>As a ninth-generation Arizonan, Travis was drawn to our firm’s 130-year-plus history in Arizona. He</w:t>
      </w:r>
      <w:r>
        <w:rPr>
          <w:color w:val="6E6158"/>
          <w:spacing w:val="40"/>
        </w:rPr>
        <w:t> </w:t>
      </w:r>
      <w:r>
        <w:rPr>
          <w:color w:val="6E6158"/>
        </w:rPr>
        <w:t>comes</w:t>
      </w:r>
      <w:r>
        <w:rPr>
          <w:color w:val="6E6158"/>
          <w:spacing w:val="23"/>
        </w:rPr>
        <w:t> </w:t>
      </w:r>
      <w:r>
        <w:rPr>
          <w:color w:val="6E6158"/>
        </w:rPr>
        <w:t>from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hard-working</w:t>
      </w:r>
      <w:r>
        <w:rPr>
          <w:color w:val="6E6158"/>
          <w:spacing w:val="23"/>
        </w:rPr>
        <w:t> </w:t>
      </w:r>
      <w:r>
        <w:rPr>
          <w:color w:val="6E6158"/>
        </w:rPr>
        <w:t>farming</w:t>
      </w:r>
      <w:r>
        <w:rPr>
          <w:color w:val="6E6158"/>
          <w:spacing w:val="23"/>
        </w:rPr>
        <w:t> </w:t>
      </w:r>
      <w:r>
        <w:rPr>
          <w:color w:val="6E6158"/>
        </w:rPr>
        <w:t>family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Tucson</w:t>
      </w:r>
      <w:r>
        <w:rPr>
          <w:color w:val="6E6158"/>
          <w:spacing w:val="23"/>
        </w:rPr>
        <w:t> </w:t>
      </w:r>
      <w:r>
        <w:rPr>
          <w:color w:val="6E6158"/>
        </w:rPr>
        <w:t>area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first</w:t>
      </w:r>
      <w:r>
        <w:rPr>
          <w:color w:val="6E6158"/>
          <w:spacing w:val="23"/>
        </w:rPr>
        <w:t> </w:t>
      </w:r>
      <w:r>
        <w:rPr>
          <w:color w:val="6E6158"/>
        </w:rPr>
        <w:t>settled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Tubac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line="295" w:lineRule="auto" w:before="0"/>
        <w:ind w:left="99" w:right="620"/>
      </w:pPr>
      <w:r>
        <w:rPr>
          <w:color w:val="6E6158"/>
        </w:rPr>
        <w:t>1770’s. Fluent in Spanish, he enjoys working with diverse clients and businesses. Travis is the firm’s</w:t>
      </w:r>
      <w:r>
        <w:rPr>
          <w:color w:val="6E6158"/>
          <w:spacing w:val="40"/>
        </w:rPr>
        <w:t> </w:t>
      </w:r>
      <w:r>
        <w:rPr>
          <w:color w:val="6E6158"/>
        </w:rPr>
        <w:t>Chief Diversity &amp; Inclusion Officer strongly believing that prioritizing diversity among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makes such entities stronger, fosters new ideas and progress, and allows others to understand</w:t>
      </w:r>
      <w:r>
        <w:rPr>
          <w:color w:val="6E6158"/>
          <w:spacing w:val="40"/>
        </w:rPr>
        <w:t> </w:t>
      </w:r>
      <w:r>
        <w:rPr>
          <w:color w:val="6E6158"/>
        </w:rPr>
        <w:t>each other better and to appreciate differences. For many years, Travis has also worked closely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community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student-based</w:t>
      </w:r>
      <w:r>
        <w:rPr>
          <w:color w:val="6E6158"/>
          <w:spacing w:val="33"/>
        </w:rPr>
        <w:t> </w:t>
      </w:r>
      <w:r>
        <w:rPr>
          <w:color w:val="6E6158"/>
        </w:rPr>
        <w:t>nonprofit</w:t>
      </w:r>
      <w:r>
        <w:rPr>
          <w:color w:val="6E6158"/>
          <w:spacing w:val="33"/>
        </w:rPr>
        <w:t> </w:t>
      </w:r>
      <w:r>
        <w:rPr>
          <w:color w:val="6E6158"/>
        </w:rPr>
        <w:t>organizations,</w:t>
      </w:r>
      <w:r>
        <w:rPr>
          <w:color w:val="6E6158"/>
          <w:spacing w:val="33"/>
        </w:rPr>
        <w:t> </w:t>
      </w:r>
      <w:r>
        <w:rPr>
          <w:color w:val="6E6158"/>
        </w:rPr>
        <w:t>such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Be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Leader</w:t>
      </w:r>
    </w:p>
    <w:p>
      <w:pPr>
        <w:pStyle w:val="BodyText"/>
        <w:spacing w:line="232" w:lineRule="exact" w:before="0"/>
        <w:ind w:left="99"/>
      </w:pPr>
      <w:r>
        <w:rPr>
          <w:color w:val="6E6158"/>
          <w:spacing w:val="-2"/>
        </w:rPr>
        <w:t>Foundation.</w:t>
      </w:r>
    </w:p>
    <w:p>
      <w:pPr>
        <w:pStyle w:val="BodyText"/>
        <w:spacing w:before="13"/>
        <w:ind w:left="0"/>
      </w:pPr>
    </w:p>
    <w:p>
      <w:pPr>
        <w:pStyle w:val="BodyText"/>
        <w:spacing w:line="292" w:lineRule="auto" w:before="0"/>
        <w:ind w:left="99" w:right="973"/>
        <w:jc w:val="both"/>
      </w:pPr>
      <w:r>
        <w:rPr>
          <w:color w:val="6E6158"/>
        </w:rPr>
        <w:t>In his free time, Travis enjoys spending time with his wife and kids, and coaching little league baseball. He has a passion for world travel, Major League Baseball, and music in which he is classically-trained in piano.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17" w:lineRule="auto" w:before="147"/>
        <w:ind w:right="36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158115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0058pt;width:1.65pt;height:1.65pt;mso-position-horizontal-relative:page;mso-position-vertical-relative:paragraph;z-index:15729152" id="docshape7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416481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38pt;width:1.65pt;height:1.65pt;mso-position-horizontal-relative:page;mso-position-vertical-relative:paragraph;z-index:15729664" id="docshape8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Arizona State University</w:t>
      </w:r>
    </w:p>
    <w:p>
      <w:pPr>
        <w:pStyle w:val="Heading1"/>
        <w:spacing w:before="15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157982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569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Employment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140636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73778pt;width:1.65pt;height:1.65pt;mso-position-horizontal-relative:page;mso-position-vertical-relative:paragraph;z-index:15731200" id="docshape10" coordorigin="1670,221" coordsize="33,33" path="m1691,254l1682,254,1678,252,1671,246,1670,242,1670,233,1671,229,1678,223,1682,221,1691,221,1694,223,1701,229,1702,233,1702,238,1702,242,1701,246,1694,252,1691,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Employment,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184099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989pt;width:1.65pt;height:1.65pt;mso-position-horizontal-relative:page;mso-position-vertical-relative:paragraph;z-index:15731712" id="docshape11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Stars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2013-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174046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4478pt;width:1.65pt;height:1.65pt;mso-position-horizontal-relative:page;mso-position-vertical-relative:paragraph;z-index:15732224" id="docshape12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Dean’s</w:t>
      </w:r>
      <w:r>
        <w:rPr>
          <w:color w:val="6E6158"/>
          <w:spacing w:val="11"/>
        </w:rPr>
        <w:t> </w:t>
      </w:r>
      <w:r>
        <w:rPr>
          <w:color w:val="6E6158"/>
        </w:rPr>
        <w:t>Recognition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James</w:t>
      </w:r>
      <w:r>
        <w:rPr>
          <w:color w:val="6E6158"/>
          <w:spacing w:val="11"/>
        </w:rPr>
        <w:t> </w:t>
      </w:r>
      <w:r>
        <w:rPr>
          <w:color w:val="6E6158"/>
        </w:rPr>
        <w:t>E.</w:t>
      </w:r>
      <w:r>
        <w:rPr>
          <w:color w:val="6E6158"/>
          <w:spacing w:val="12"/>
        </w:rPr>
        <w:t> </w:t>
      </w:r>
      <w:r>
        <w:rPr>
          <w:color w:val="6E6158"/>
        </w:rPr>
        <w:t>Rogers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245837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7269pt;width:1.65pt;height:1.65pt;mso-position-horizontal-relative:page;mso-position-vertical-relative:paragraph;z-index:15732736" id="docshape13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Fennemore offers a peek at attorney life to students from the Be A Leader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Foundation</w:t>
        </w:r>
      </w:hyperlink>
      <w:r>
        <w:rPr>
          <w:color w:val="6E6158"/>
        </w:rPr>
        <w:t>,” Fennemore Blog, March 17, 2025</w:t>
      </w:r>
    </w:p>
    <w:p>
      <w:pPr>
        <w:pStyle w:val="BodyText"/>
        <w:spacing w:line="302" w:lineRule="auto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235941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045pt;width:1.65pt;height:1.65pt;mso-position-horizontal-relative:page;mso-position-vertical-relative:paragraph;z-index:15733248" id="docshape1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“Recent Updates in Employment Law,” Fennemore L&amp;E Fall Seminar, </w:t>
      </w:r>
      <w:r>
        <w:rPr>
          <w:color w:val="6E6158"/>
        </w:rPr>
        <w:t>September </w:t>
      </w:r>
      <w:r>
        <w:rPr>
          <w:color w:val="6E6158"/>
          <w:spacing w:val="-2"/>
        </w:rPr>
        <w:t>2023.</w:t>
      </w:r>
    </w:p>
    <w:p>
      <w:pPr>
        <w:pStyle w:val="BodyText"/>
        <w:spacing w:line="292" w:lineRule="auto" w:before="113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224285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0244pt;width:1.65pt;height:1.65pt;mso-position-horizontal-relative:page;mso-position-vertical-relative:paragraph;z-index:15733760" id="docshape1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“Protecting Your Business and Limiting Risk of Employment Lawsuits”, </w:t>
      </w:r>
      <w:r>
        <w:rPr>
          <w:color w:val="6E6158"/>
        </w:rPr>
        <w:t>Arizona Builders Alliance, employment law seminar, May 2023</w:t>
      </w:r>
    </w:p>
    <w:p>
      <w:pPr>
        <w:pStyle w:val="BodyText"/>
        <w:spacing w:line="297" w:lineRule="auto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323824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8028pt;width:1.65pt;height:1.65pt;mso-position-horizontal-relative:page;mso-position-vertical-relative:paragraph;z-index:15734272" id="docshape16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“Getting it Right – Classifying Workers as Employees or Independent Contractors”, Arizona Department of Transportation’s Disadvantage Business Enterprise virtual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December 2022</w:t>
      </w:r>
    </w:p>
    <w:p>
      <w:pPr>
        <w:pStyle w:val="BodyText"/>
        <w:spacing w:line="302" w:lineRule="auto" w:before="118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232835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33504pt;width:1.65pt;height:1.65pt;mso-position-horizontal-relative:page;mso-position-vertical-relative:paragraph;z-index:15734784" id="docshape17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“FACT FINDERS: Under vaccine mandates, why isn’t proof of natural </w:t>
      </w:r>
      <w:r>
        <w:rPr>
          <w:color w:val="6E6158"/>
        </w:rPr>
        <w:t>immunity accepted?,” KOLD News 13 Phoenix, October 20, 2021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131342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1940pt;width:1.65pt;height:1.65pt;mso-position-horizontal-relative:page;mso-position-vertical-relative:paragraph;z-index:15735296" id="docshape18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Podcast,</w:t>
      </w:r>
      <w:r>
        <w:rPr>
          <w:color w:val="6E6158"/>
          <w:spacing w:val="13"/>
        </w:rPr>
        <w:t> </w:t>
      </w:r>
      <w:r>
        <w:rPr>
          <w:color w:val="6E6158"/>
        </w:rPr>
        <w:t>“Diversity</w:t>
      </w:r>
      <w:r>
        <w:rPr>
          <w:color w:val="6E6158"/>
          <w:spacing w:val="13"/>
        </w:rPr>
        <w:t> </w:t>
      </w:r>
      <w:r>
        <w:rPr>
          <w:color w:val="6E6158"/>
        </w:rPr>
        <w:t>Equity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Inclusion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Fennemore,”</w:t>
      </w:r>
      <w:r>
        <w:rPr>
          <w:color w:val="6E6158"/>
          <w:spacing w:val="14"/>
        </w:rPr>
        <w:t> </w:t>
      </w:r>
      <w:r>
        <w:rPr>
          <w:color w:val="6E6158"/>
        </w:rPr>
        <w:t>Fenn.Talks</w:t>
      </w:r>
      <w:r>
        <w:rPr>
          <w:color w:val="6E6158"/>
          <w:spacing w:val="13"/>
        </w:rPr>
        <w:t> </w:t>
      </w:r>
      <w:r>
        <w:rPr>
          <w:color w:val="6E6158"/>
        </w:rPr>
        <w:t>Podcast,</w:t>
      </w:r>
      <w:r>
        <w:rPr>
          <w:color w:val="6E6158"/>
          <w:spacing w:val="13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5,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74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263039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1733pt;width:1.65pt;height:1.65pt;mso-position-horizontal-relative:page;mso-position-vertical-relative:paragraph;z-index:15735808" id="docshape1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“Why Executives Should Weigh The Pros And Cons Before Paying Workers To Get Covid Shots,” </w:t>
      </w:r>
      <w:r>
        <w:rPr>
          <w:i/>
          <w:color w:val="6E6158"/>
          <w:sz w:val="20"/>
        </w:rPr>
        <w:t>Forbes</w:t>
      </w:r>
      <w:r>
        <w:rPr>
          <w:color w:val="6E6158"/>
        </w:rPr>
        <w:t>, May 28, 2021</w:t>
      </w:r>
    </w:p>
    <w:p>
      <w:pPr>
        <w:pStyle w:val="BodyText"/>
        <w:spacing w:line="292" w:lineRule="auto" w:before="136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238646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1044pt;width:1.65pt;height:1.65pt;mso-position-horizontal-relative:page;mso-position-vertical-relative:paragraph;z-index:15736320" id="docshape20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“Can employers require employees to take the COVID-19 vaccine?” Fox </w:t>
      </w:r>
      <w:r>
        <w:rPr>
          <w:color w:val="6E6158"/>
        </w:rPr>
        <w:t>10 Phoenix, December 6, 2020</w:t>
      </w:r>
    </w:p>
    <w:p>
      <w:pPr>
        <w:pStyle w:val="BodyText"/>
        <w:spacing w:line="297" w:lineRule="auto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323579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868pt;width:1.65pt;height:1.65pt;mso-position-horizontal-relative:page;mso-position-vertical-relative:paragraph;z-index:15736832" id="docshape21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“HR and Personnel Considerations for Reopening and Returning to Work”, </w:t>
      </w:r>
      <w:r>
        <w:rPr>
          <w:color w:val="6E6158"/>
        </w:rPr>
        <w:t>Arizona Commerce Authority, Webinar, Small Business Bootcamp and Resource Collective, May 18,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18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320434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1062pt;width:1.65pt;height:1.65pt;mso-position-horizontal-relative:page;mso-position-vertical-relative:paragraph;z-index:15737344" id="docshape22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“New Emergency Paid Leave Laws, Furloughs And Other Employment Issues Related to COVID-19”, Chandler Innovations Incubator, Webinar, Small Business Town Hall, April 2020</w:t>
      </w:r>
    </w:p>
    <w:p>
      <w:pPr>
        <w:pStyle w:val="BodyText"/>
        <w:spacing w:before="132" w:after="7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“Sick-leave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helps</w:t>
      </w:r>
      <w:r>
        <w:rPr>
          <w:color w:val="6E6158"/>
          <w:spacing w:val="12"/>
        </w:rPr>
        <w:t> </w:t>
      </w:r>
      <w:r>
        <w:rPr>
          <w:color w:val="6E6158"/>
        </w:rPr>
        <w:t>workers</w:t>
      </w:r>
      <w:r>
        <w:rPr>
          <w:color w:val="6E6158"/>
          <w:spacing w:val="12"/>
        </w:rPr>
        <w:t> </w:t>
      </w:r>
      <w:r>
        <w:rPr>
          <w:color w:val="6E6158"/>
        </w:rPr>
        <w:t>amid</w:t>
      </w:r>
      <w:r>
        <w:rPr>
          <w:color w:val="6E6158"/>
          <w:spacing w:val="12"/>
        </w:rPr>
        <w:t> </w:t>
      </w:r>
      <w:r>
        <w:rPr>
          <w:color w:val="6E6158"/>
        </w:rPr>
        <w:t>coronavirus</w:t>
      </w:r>
      <w:r>
        <w:rPr>
          <w:color w:val="6E6158"/>
          <w:spacing w:val="12"/>
        </w:rPr>
        <w:t> </w:t>
      </w:r>
      <w:r>
        <w:rPr>
          <w:color w:val="6E6158"/>
        </w:rPr>
        <w:t>but</w:t>
      </w:r>
      <w:r>
        <w:rPr>
          <w:color w:val="6E6158"/>
          <w:spacing w:val="12"/>
        </w:rPr>
        <w:t> </w:t>
      </w:r>
      <w:r>
        <w:rPr>
          <w:color w:val="6E6158"/>
        </w:rPr>
        <w:t>puts</w:t>
      </w:r>
      <w:r>
        <w:rPr>
          <w:color w:val="6E6158"/>
          <w:spacing w:val="12"/>
        </w:rPr>
        <w:t> </w:t>
      </w:r>
      <w:r>
        <w:rPr>
          <w:color w:val="6E6158"/>
        </w:rPr>
        <w:t>onus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small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businesses,”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3" coordorigin="0,0" coordsize="33,33">
                <v:shape style="position:absolute;left:0;top:0;width:33;height:33" id="docshape2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color w:val="6E6158"/>
          <w:sz w:val="19"/>
        </w:rPr>
        <w:t>,</w:t>
      </w:r>
      <w:r>
        <w:rPr>
          <w:color w:val="6E6158"/>
          <w:spacing w:val="-13"/>
          <w:sz w:val="19"/>
        </w:rPr>
        <w:t> </w:t>
      </w:r>
      <w:r>
        <w:rPr>
          <w:i/>
          <w:color w:val="6E6158"/>
          <w:sz w:val="20"/>
        </w:rPr>
        <w:t>Tucson.com,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-1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302" w:lineRule="auto" w:before="171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266453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56pt;width:1.65pt;height:1.65pt;mso-position-horizontal-relative:page;mso-position-vertical-relative:paragraph;z-index:15737856" id="docshape25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Update and Trending Workplace Issues for 2020,” </w:t>
      </w:r>
      <w:r>
        <w:rPr>
          <w:color w:val="6E6158"/>
        </w:rPr>
        <w:t>Arizona Hispanic Chamber of Commerce, Business Bootcamp series, March 2020</w:t>
      </w:r>
    </w:p>
    <w:p>
      <w:pPr>
        <w:pStyle w:val="BodyText"/>
        <w:spacing w:line="292" w:lineRule="auto" w:before="113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224315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655pt;width:1.65pt;height:1.65pt;mso-position-horizontal-relative:page;mso-position-vertical-relative:paragraph;z-index:15738368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“Highlights in Employment Law in 2019 and What’s To Come in 2020,” Employment Law Section of the State Bar of Arizona, December 2019</w:t>
      </w:r>
    </w:p>
    <w:p>
      <w:pPr>
        <w:pStyle w:val="BodyText"/>
        <w:spacing w:line="302" w:lineRule="auto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236010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508pt;width:1.65pt;height:1.65pt;mso-position-horizontal-relative:page;mso-position-vertical-relative:paragraph;z-index:15738880" id="docshape2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“COVID-19: Health Plan Coverage For Furloughed Employees,”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Alert, March 26, 2020</w:t>
        </w:r>
      </w:hyperlink>
    </w:p>
    <w:p>
      <w:pPr>
        <w:pStyle w:val="BodyText"/>
        <w:spacing w:line="292" w:lineRule="auto" w:before="113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317366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9466pt;width:1.65pt;height:1.65pt;mso-position-horizontal-relative:page;mso-position-vertical-relative:paragraph;z-index:15739392" id="docshape28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Co-author, “Understanding the Emergency Family Medical Leave Expansion Act and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Emergency Paid Sick Leave in the Families First Coronavirus Response Act,” Fennemore </w:t>
        </w:r>
        <w:r>
          <w:rPr>
            <w:color w:val="FF8100"/>
          </w:rPr>
          <w:t>Client</w:t>
        </w:r>
      </w:hyperlink>
      <w:r>
        <w:rPr>
          <w:color w:val="FF8100"/>
          <w:spacing w:val="40"/>
        </w:rPr>
        <w:t> </w:t>
      </w:r>
      <w:hyperlink r:id="rId13">
        <w:r>
          <w:rPr>
            <w:color w:val="FF8100"/>
          </w:rPr>
          <w:t>Alert, March 20, 2020</w:t>
        </w:r>
      </w:hyperlink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236435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6943pt;width:1.65pt;height:1.65pt;mso-position-horizontal-relative:page;mso-position-vertical-relative:paragraph;z-index:15739904" id="docshape29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“Frequently Asked Questions About the Coronavirus in the Employment </w:t>
        </w:r>
        <w:r>
          <w:rPr>
            <w:color w:val="FF8100"/>
          </w:rPr>
          <w:t>Setting,”</w:t>
        </w:r>
      </w:hyperlink>
      <w:r>
        <w:rPr>
          <w:color w:val="FF8100"/>
        </w:rPr>
        <w:t> </w:t>
      </w:r>
      <w:hyperlink r:id="rId14">
        <w:r>
          <w:rPr>
            <w:color w:val="FF8100"/>
          </w:rPr>
          <w:t>Fennemore Client Alert, March 17, 2020</w:t>
        </w:r>
      </w:hyperlink>
    </w:p>
    <w:p>
      <w:pPr>
        <w:pStyle w:val="BodyText"/>
        <w:spacing w:line="292" w:lineRule="auto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230898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0973pt;width:1.65pt;height:1.65pt;mso-position-horizontal-relative:page;mso-position-vertical-relative:paragraph;z-index:15740416" id="docshape30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Author, “Attention Employers With 100 or More Employees: Deadline Quickly Approaching to</w:t>
        </w:r>
      </w:hyperlink>
      <w:r>
        <w:rPr>
          <w:color w:val="FF8100"/>
        </w:rPr>
        <w:t> </w:t>
      </w:r>
      <w:hyperlink r:id="rId15">
        <w:r>
          <w:rPr>
            <w:color w:val="FF8100"/>
          </w:rPr>
          <w:t>Submit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Pay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Data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EEOC,”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August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19,</w:t>
        </w:r>
        <w:r>
          <w:rPr>
            <w:color w:val="FF8100"/>
            <w:spacing w:val="30"/>
          </w:rPr>
          <w:t> </w:t>
        </w:r>
        <w:r>
          <w:rPr>
            <w:color w:val="FF8100"/>
          </w:rPr>
          <w:t>2019</w:t>
        </w:r>
      </w:hyperlink>
    </w:p>
    <w:p>
      <w:pPr>
        <w:pStyle w:val="BodyText"/>
        <w:spacing w:after="0" w:line="292" w:lineRule="auto"/>
        <w:sectPr>
          <w:pgSz w:w="12240" w:h="15840"/>
          <w:pgMar w:top="480" w:bottom="280" w:left="1440" w:right="1080"/>
        </w:sectPr>
      </w:pPr>
    </w:p>
    <w:p>
      <w:pPr>
        <w:spacing w:line="278" w:lineRule="auto" w:before="73"/>
        <w:ind w:left="351" w:right="62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“How Employers Should Handle Requests for Workplace Accommodations,”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z w:val="20"/>
        </w:rPr>
        <w:t> Business Magazine</w:t>
      </w:r>
      <w:r>
        <w:rPr>
          <w:color w:val="6E6158"/>
          <w:sz w:val="19"/>
        </w:rPr>
        <w:t>, November 2018</w:t>
      </w:r>
    </w:p>
    <w:p>
      <w:pPr>
        <w:pStyle w:val="BodyText"/>
        <w:spacing w:line="292" w:lineRule="auto" w:before="141"/>
        <w:ind w:right="6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242230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3257pt;width:1.65pt;height:1.65pt;mso-position-horizontal-relative:page;mso-position-vertical-relative:paragraph;z-index:15741440" id="docshape32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“One year After the Arizona Paid Sick Leave Law: What Have We Learned?” Business Section of the State Bar of Arizona, October 2018</w:t>
      </w:r>
    </w:p>
    <w:p>
      <w:pPr>
        <w:spacing w:line="278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230977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174pt;width:1.65pt;height:1.65pt;mso-position-horizontal-relative:page;mso-position-vertical-relative:paragraph;z-index:15741952" id="docshape33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“How to Protect Your Business from Employee’s Social Media Posts,” </w:t>
      </w:r>
      <w:r>
        <w:rPr>
          <w:i/>
          <w:color w:val="6E6158"/>
          <w:sz w:val="20"/>
        </w:rPr>
        <w:t>Arizona Business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September 2018</w:t>
      </w:r>
    </w:p>
    <w:p>
      <w:pPr>
        <w:pStyle w:val="Heading1"/>
        <w:spacing w:before="1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152431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456pt;width:1.65pt;height:1.65pt;mso-position-horizontal-relative:page;mso-position-vertical-relative:paragraph;z-index:15742464" id="docshape3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Board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Directors,</w:t>
      </w:r>
      <w:r>
        <w:rPr>
          <w:color w:val="6E6158"/>
          <w:spacing w:val="7"/>
        </w:rPr>
        <w:t> </w:t>
      </w:r>
      <w:r>
        <w:rPr>
          <w:color w:val="6E6158"/>
        </w:rPr>
        <w:t>Be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7"/>
        </w:rPr>
        <w:t> </w:t>
      </w:r>
      <w:r>
        <w:rPr>
          <w:color w:val="6E6158"/>
        </w:rPr>
        <w:t>Leader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175328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358pt;width:1.65pt;height:1.65pt;mso-position-horizontal-relative:page;mso-position-vertical-relative:paragraph;z-index:15742976" id="docshape3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Chief</w:t>
      </w:r>
      <w:r>
        <w:rPr>
          <w:color w:val="6E6158"/>
          <w:spacing w:val="13"/>
        </w:rPr>
        <w:t> </w:t>
      </w:r>
      <w:r>
        <w:rPr>
          <w:color w:val="6E6158"/>
        </w:rPr>
        <w:t>Diversity</w:t>
      </w:r>
      <w:r>
        <w:rPr>
          <w:color w:val="6E6158"/>
          <w:spacing w:val="13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</w:rPr>
        <w:t>Inclusion</w:t>
      </w:r>
      <w:r>
        <w:rPr>
          <w:color w:val="6E6158"/>
          <w:spacing w:val="13"/>
        </w:rPr>
        <w:t> </w:t>
      </w:r>
      <w:r>
        <w:rPr>
          <w:color w:val="6E6158"/>
        </w:rPr>
        <w:t>Officer,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</w:rPr>
        <w:t>2023-</w:t>
      </w:r>
      <w:r>
        <w:rPr>
          <w:color w:val="6E6158"/>
          <w:spacing w:val="-2"/>
        </w:rPr>
        <w:t>Present</w:t>
      </w:r>
    </w:p>
    <w:p>
      <w:pPr>
        <w:pStyle w:val="BodyText"/>
        <w:spacing w:line="420" w:lineRule="auto" w:before="174"/>
        <w:ind w:right="14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175278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417pt;width:1.65pt;height:1.65pt;mso-position-horizontal-relative:page;mso-position-vertical-relative:paragraph;z-index:15743488" id="docshape3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433643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5164pt;width:1.65pt;height:1.65pt;mso-position-horizontal-relative:page;mso-position-vertical-relative:paragraph;z-index:15744000" id="docshape37" coordorigin="1670,683" coordsize="33,33" path="m1691,715l1682,715,1678,714,1671,708,1670,704,1670,695,1671,691,1678,684,1682,683,1691,683,1694,684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Fennemore Craig Diversity and Inclusion Council, 2020-December </w:t>
      </w:r>
      <w:r>
        <w:rPr>
          <w:color w:val="6E6158"/>
        </w:rPr>
        <w:t>2022 Member, Sandra Day O’Connor Inn of Court, 2012-present</w:t>
      </w:r>
    </w:p>
    <w:p>
      <w:pPr>
        <w:pStyle w:val="BodyText"/>
        <w:spacing w:line="420" w:lineRule="auto" w:before="7"/>
        <w:ind w:right="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63778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948pt;width:1.65pt;height:1.65pt;mso-position-horizontal-relative:page;mso-position-vertical-relative:paragraph;z-index:15744512" id="docshape38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327313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72749pt;width:1.65pt;height:1.65pt;mso-position-horizontal-relative:page;mso-position-vertical-relative:paragraph;z-index:15745024" id="docshape39" coordorigin="1670,515" coordsize="33,33" path="m1691,548l1682,548,1678,546,1671,540,1670,536,1670,527,1671,523,1678,517,1682,515,1691,515,1694,517,1701,523,1702,527,1702,532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Past Board Member, Los Abogados Hispanic Bar Association, 2009-present Volunteer Mentor, The Be A Leader Foundation, 2009-present</w:t>
      </w:r>
    </w:p>
    <w:p>
      <w:pPr>
        <w:pStyle w:val="Heading1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158054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212pt;width:1.65pt;height:1.65pt;mso-position-horizontal-relative:page;mso-position-vertical-relative:paragraph;z-index:15745536" id="docshape40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175151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43pt;width:1.65pt;height:1.65pt;mso-position-horizontal-relative:page;mso-position-vertical-relative:paragraph;z-index:15746048" id="docshape4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157826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7288pt;width:1.65pt;height:1.65pt;mso-position-horizontal-relative:page;mso-position-vertical-relative:paragraph;z-index:15746560" id="docshape42" coordorigin="1670,249" coordsize="33,33" path="m1691,281l1682,281,1678,280,1671,273,1670,269,1670,260,1671,256,1678,250,1682,249,1691,249,1694,250,1701,256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tpacheco@fennemorelaw.com" TargetMode="External"/><Relationship Id="rId11" Type="http://schemas.openxmlformats.org/officeDocument/2006/relationships/hyperlink" Target="https://www.fennemorelaw.com/fennemore-offers-a-peek-at-attorney-life-to-students-from-the-be-a-leader-foundation/" TargetMode="External"/><Relationship Id="rId12" Type="http://schemas.openxmlformats.org/officeDocument/2006/relationships/hyperlink" Target="https://www.fennemorelaw.com/insights/newsletters/2020/covid-19-health-plan-coverage-for-furloughed-employees" TargetMode="External"/><Relationship Id="rId13" Type="http://schemas.openxmlformats.org/officeDocument/2006/relationships/hyperlink" Target="https://www.fennemorelaw.com/insights/newsletters/2020/understanding-the-emergency-family-medical-leave-expansion-act-and-emergency-paid-sick-leave-in-the-families-first-coronavirus-response-act" TargetMode="External"/><Relationship Id="rId14" Type="http://schemas.openxmlformats.org/officeDocument/2006/relationships/hyperlink" Target="https://www.fennemorelaw.com/insights/newsletters/2020/frequently-asked-questions-about-the-coronavirus-in-the-employment-setting" TargetMode="External"/><Relationship Id="rId15" Type="http://schemas.openxmlformats.org/officeDocument/2006/relationships/hyperlink" Target="https://www.fennemorelaw.com/insights/newsletters/2019/attention-employers-with-100-or-more-employee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Travis A. Pacheco - Fennemore</dc:title>
  <dcterms:created xsi:type="dcterms:W3CDTF">2026-01-29T01:20:24Z</dcterms:created>
  <dcterms:modified xsi:type="dcterms:W3CDTF">2026-01-29T01:20:24Z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