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AMERON HES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96437" y="1369338"/>
                            <a:ext cx="191198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985" h="320675">
                                <a:moveTo>
                                  <a:pt x="191190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11908" y="320382"/>
                                </a:lnTo>
                                <a:lnTo>
                                  <a:pt x="1911908" y="315214"/>
                                </a:lnTo>
                                <a:close/>
                              </a:path>
                              <a:path w="1911985" h="320675">
                                <a:moveTo>
                                  <a:pt x="1911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11908" y="5168"/>
                                </a:lnTo>
                                <a:lnTo>
                                  <a:pt x="1911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96772" y="763308"/>
                            <a:ext cx="1926589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CAMERON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HESS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1859626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33508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916.273.1810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99508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73869" y="2226505"/>
                            <a:ext cx="13722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chess@fennemorelaw.com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CAMERON HESS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99;top:-2501;width:3011;height:505" id="docshape5" coordorigin="7000,-2500" coordsize="3011,505" path="m10011,-2004l7000,-2004,7000,-1996,10011,-1996,10011,-2004xm10011,-2500l7000,-2500,7000,-2492,10011,-2492,10011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00;top:-3455;width:3034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CAMERON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HESS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172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58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916.273.1810</w:t>
                        </w:r>
                      </w:p>
                    </w:txbxContent>
                  </v:textbox>
                  <w10:wrap type="none"/>
                </v:shape>
                <v:shape style="position:absolute;left:8737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7436;top:-1151;width:216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chess@fennemorelaw.com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CAMERON</w:t>
      </w:r>
      <w:r>
        <w:rPr>
          <w:color w:val="FF8100"/>
          <w:spacing w:val="13"/>
        </w:rPr>
        <w:t> </w:t>
      </w:r>
      <w:r>
        <w:rPr>
          <w:color w:val="FF8100"/>
          <w:spacing w:val="-4"/>
        </w:rPr>
        <w:t>HESS</w:t>
      </w:r>
    </w:p>
    <w:p>
      <w:pPr>
        <w:pStyle w:val="BodyText"/>
        <w:spacing w:line="302" w:lineRule="auto" w:before="147"/>
        <w:ind w:left="99"/>
      </w:pPr>
      <w:r>
        <w:rPr>
          <w:color w:val="6E6158"/>
        </w:rPr>
        <w:t>Cameron L. Hess, CPA, Esq., is a Fennemore Director.</w:t>
      </w:r>
      <w:r>
        <w:rPr>
          <w:color w:val="6E6158"/>
          <w:spacing w:val="73"/>
        </w:rPr>
        <w:t> </w:t>
      </w:r>
      <w:r>
        <w:rPr>
          <w:color w:val="6E6158"/>
        </w:rPr>
        <w:t>He brings his unique dual experience as a Certified</w:t>
      </w:r>
      <w:r>
        <w:rPr>
          <w:color w:val="6E6158"/>
          <w:spacing w:val="13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</w:rPr>
        <w:t>Accountant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lawyer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firm’s</w:t>
      </w:r>
      <w:r>
        <w:rPr>
          <w:color w:val="6E6158"/>
          <w:spacing w:val="14"/>
        </w:rPr>
        <w:t> </w:t>
      </w:r>
      <w:r>
        <w:rPr>
          <w:color w:val="6E6158"/>
        </w:rPr>
        <w:t>transaction</w:t>
      </w:r>
      <w:r>
        <w:rPr>
          <w:color w:val="6E6158"/>
          <w:spacing w:val="14"/>
        </w:rPr>
        <w:t> </w:t>
      </w:r>
      <w:r>
        <w:rPr>
          <w:color w:val="6E6158"/>
        </w:rPr>
        <w:t>department.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Certified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Public</w:t>
      </w:r>
    </w:p>
    <w:p>
      <w:pPr>
        <w:pStyle w:val="BodyText"/>
        <w:spacing w:line="292" w:lineRule="auto"/>
        <w:ind w:left="99" w:right="240"/>
      </w:pPr>
      <w:r>
        <w:rPr>
          <w:color w:val="6E6158"/>
        </w:rPr>
        <w:t>Accountant with KPMG, Cameron’s diverse 41-years of experience focuses on strategic </w:t>
      </w:r>
      <w:r>
        <w:rPr>
          <w:color w:val="6E6158"/>
        </w:rPr>
        <w:t>planning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advocacy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real</w:t>
      </w:r>
      <w:r>
        <w:rPr>
          <w:color w:val="6E6158"/>
          <w:spacing w:val="32"/>
        </w:rPr>
        <w:t> </w:t>
      </w:r>
      <w:r>
        <w:rPr>
          <w:color w:val="6E6158"/>
        </w:rPr>
        <w:t>estate,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transactions,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planning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nonprofits.</w:t>
      </w:r>
    </w:p>
    <w:p>
      <w:pPr>
        <w:pStyle w:val="BodyText"/>
        <w:spacing w:line="295" w:lineRule="auto"/>
        <w:ind w:left="99" w:right="240"/>
      </w:pPr>
      <w:r>
        <w:rPr>
          <w:color w:val="6E6158"/>
        </w:rPr>
        <w:t>He is distinctly recognized for his federal, state, and local tax controversy work.</w:t>
      </w:r>
      <w:r>
        <w:rPr>
          <w:color w:val="6E6158"/>
          <w:spacing w:val="80"/>
        </w:rPr>
        <w:t> </w:t>
      </w:r>
      <w:r>
        <w:rPr>
          <w:color w:val="6E6158"/>
        </w:rPr>
        <w:t>While Mr. Hess’ past experience has included public company representation, for the last three and a half</w:t>
      </w:r>
      <w:r>
        <w:rPr>
          <w:color w:val="6E6158"/>
          <w:spacing w:val="40"/>
        </w:rPr>
        <w:t> </w:t>
      </w:r>
      <w:r>
        <w:rPr>
          <w:color w:val="6E6158"/>
        </w:rPr>
        <w:t>decades he has focused on providing comprehensive representation for closely held </w:t>
      </w:r>
      <w:r>
        <w:rPr>
          <w:color w:val="6E6158"/>
        </w:rPr>
        <w:t>businesses</w:t>
      </w:r>
      <w:r>
        <w:rPr>
          <w:color w:val="6E6158"/>
          <w:spacing w:val="40"/>
        </w:rPr>
        <w:t> </w:t>
      </w:r>
      <w:r>
        <w:rPr>
          <w:color w:val="6E6158"/>
        </w:rPr>
        <w:t>and family planning.</w:t>
      </w:r>
      <w:r>
        <w:rPr>
          <w:color w:val="6E6158"/>
          <w:spacing w:val="80"/>
        </w:rPr>
        <w:t> </w:t>
      </w:r>
      <w:r>
        <w:rPr>
          <w:color w:val="6E6158"/>
        </w:rPr>
        <w:t>This has included mergers and acquisitions, setting up US subsidiaries, and comprehensive</w:t>
      </w:r>
      <w:r>
        <w:rPr>
          <w:color w:val="6E6158"/>
          <w:spacing w:val="27"/>
        </w:rPr>
        <w:t> </w:t>
      </w:r>
      <w:r>
        <w:rPr>
          <w:color w:val="6E6158"/>
        </w:rPr>
        <w:t>tax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succession</w:t>
      </w:r>
      <w:r>
        <w:rPr>
          <w:color w:val="6E6158"/>
          <w:spacing w:val="27"/>
        </w:rPr>
        <w:t> </w:t>
      </w:r>
      <w:r>
        <w:rPr>
          <w:color w:val="6E6158"/>
        </w:rPr>
        <w:t>planning.</w:t>
      </w:r>
      <w:r>
        <w:rPr>
          <w:color w:val="6E6158"/>
          <w:spacing w:val="80"/>
        </w:rPr>
        <w:t> </w:t>
      </w:r>
      <w:r>
        <w:rPr>
          <w:color w:val="6E6158"/>
        </w:rPr>
        <w:t>Mr.</w:t>
      </w:r>
      <w:r>
        <w:rPr>
          <w:color w:val="6E6158"/>
          <w:spacing w:val="27"/>
        </w:rPr>
        <w:t> </w:t>
      </w:r>
      <w:r>
        <w:rPr>
          <w:color w:val="6E6158"/>
        </w:rPr>
        <w:t>Hess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continued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practice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state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tax</w:t>
      </w:r>
      <w:r>
        <w:rPr>
          <w:color w:val="6E6158"/>
          <w:spacing w:val="13"/>
        </w:rPr>
        <w:t> </w:t>
      </w:r>
      <w:r>
        <w:rPr>
          <w:color w:val="6E6158"/>
        </w:rPr>
        <w:t>controversy</w:t>
      </w:r>
      <w:r>
        <w:rPr>
          <w:color w:val="6E6158"/>
          <w:spacing w:val="13"/>
        </w:rPr>
        <w:t> </w:t>
      </w:r>
      <w:r>
        <w:rPr>
          <w:color w:val="6E6158"/>
        </w:rPr>
        <w:t>work</w:t>
      </w:r>
      <w:r>
        <w:rPr>
          <w:color w:val="6E6158"/>
          <w:spacing w:val="13"/>
        </w:rPr>
        <w:t> </w:t>
      </w:r>
      <w:r>
        <w:rPr>
          <w:color w:val="6E6158"/>
        </w:rPr>
        <w:t>(property,</w:t>
      </w:r>
      <w:r>
        <w:rPr>
          <w:color w:val="6E6158"/>
          <w:spacing w:val="13"/>
        </w:rPr>
        <w:t> </w:t>
      </w:r>
      <w:r>
        <w:rPr>
          <w:color w:val="6E6158"/>
        </w:rPr>
        <w:t>sales,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unitary</w:t>
      </w:r>
      <w:r>
        <w:rPr>
          <w:color w:val="6E6158"/>
          <w:spacing w:val="13"/>
        </w:rPr>
        <w:t> </w:t>
      </w:r>
      <w:r>
        <w:rPr>
          <w:color w:val="6E6158"/>
        </w:rPr>
        <w:t>income</w:t>
      </w:r>
      <w:r>
        <w:rPr>
          <w:color w:val="6E6158"/>
          <w:spacing w:val="13"/>
        </w:rPr>
        <w:t> </w:t>
      </w:r>
      <w:r>
        <w:rPr>
          <w:color w:val="6E6158"/>
        </w:rPr>
        <w:t>taxation)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special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issue</w:t>
      </w:r>
    </w:p>
    <w:p>
      <w:pPr>
        <w:pStyle w:val="BodyText"/>
        <w:spacing w:line="292" w:lineRule="auto" w:before="52"/>
        <w:ind w:left="99" w:right="376"/>
      </w:pPr>
      <w:r>
        <w:rPr>
          <w:color w:val="6E6158"/>
        </w:rPr>
        <w:t>representation, including nonprofits, international, special trusts, and family limited </w:t>
      </w:r>
      <w:r>
        <w:rPr>
          <w:color w:val="6E6158"/>
        </w:rPr>
        <w:t>partnerships.</w:t>
      </w:r>
      <w:r>
        <w:rPr>
          <w:color w:val="6E6158"/>
          <w:spacing w:val="40"/>
        </w:rPr>
        <w:t> </w:t>
      </w:r>
      <w:r>
        <w:rPr>
          <w:color w:val="6E6158"/>
        </w:rPr>
        <w:t>Mr. Hess was previously director of the WKBKY’s nonprofit practice.</w:t>
      </w:r>
    </w:p>
    <w:p>
      <w:pPr>
        <w:pStyle w:val="BodyText"/>
        <w:spacing w:line="292" w:lineRule="auto" w:before="205"/>
        <w:ind w:left="99"/>
      </w:pPr>
      <w:r>
        <w:rPr>
          <w:color w:val="6E6158"/>
        </w:rPr>
        <w:t>While not single industry specific, his clientele come from real estate, agriculture, </w:t>
      </w:r>
      <w:r>
        <w:rPr>
          <w:color w:val="6E6158"/>
        </w:rPr>
        <w:t>manufacturing,</w:t>
      </w:r>
      <w:r>
        <w:rPr>
          <w:color w:val="6E6158"/>
          <w:spacing w:val="40"/>
        </w:rPr>
        <w:t> </w:t>
      </w:r>
      <w:r>
        <w:rPr>
          <w:color w:val="6E6158"/>
        </w:rPr>
        <w:t>education,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service</w:t>
      </w:r>
      <w:r>
        <w:rPr>
          <w:color w:val="6E6158"/>
          <w:spacing w:val="24"/>
        </w:rPr>
        <w:t> </w:t>
      </w:r>
      <w:r>
        <w:rPr>
          <w:color w:val="6E6158"/>
        </w:rPr>
        <w:t>industries.</w:t>
      </w:r>
      <w:r>
        <w:rPr>
          <w:color w:val="6E6158"/>
          <w:spacing w:val="80"/>
        </w:rPr>
        <w:t> </w:t>
      </w:r>
      <w:r>
        <w:rPr>
          <w:color w:val="6E6158"/>
        </w:rPr>
        <w:t>Mr.</w:t>
      </w:r>
      <w:r>
        <w:rPr>
          <w:color w:val="6E6158"/>
          <w:spacing w:val="24"/>
        </w:rPr>
        <w:t> </w:t>
      </w:r>
      <w:r>
        <w:rPr>
          <w:color w:val="6E6158"/>
        </w:rPr>
        <w:t>Hess</w:t>
      </w:r>
      <w:r>
        <w:rPr>
          <w:color w:val="6E6158"/>
          <w:spacing w:val="24"/>
        </w:rPr>
        <w:t> </w:t>
      </w:r>
      <w:r>
        <w:rPr>
          <w:color w:val="6E6158"/>
        </w:rPr>
        <w:t>has</w:t>
      </w:r>
      <w:r>
        <w:rPr>
          <w:color w:val="6E6158"/>
          <w:spacing w:val="24"/>
        </w:rPr>
        <w:t> </w:t>
      </w:r>
      <w:r>
        <w:rPr>
          <w:color w:val="6E6158"/>
        </w:rPr>
        <w:t>published</w:t>
      </w:r>
      <w:r>
        <w:rPr>
          <w:color w:val="6E6158"/>
          <w:spacing w:val="24"/>
        </w:rPr>
        <w:t> </w:t>
      </w:r>
      <w:r>
        <w:rPr>
          <w:color w:val="6E6158"/>
        </w:rPr>
        <w:t>over</w:t>
      </w:r>
      <w:r>
        <w:rPr>
          <w:color w:val="6E6158"/>
          <w:spacing w:val="24"/>
        </w:rPr>
        <w:t> </w:t>
      </w:r>
      <w:r>
        <w:rPr>
          <w:color w:val="6E6158"/>
        </w:rPr>
        <w:t>200</w:t>
      </w:r>
      <w:r>
        <w:rPr>
          <w:color w:val="6E6158"/>
          <w:spacing w:val="24"/>
        </w:rPr>
        <w:t> </w:t>
      </w:r>
      <w:r>
        <w:rPr>
          <w:color w:val="6E6158"/>
        </w:rPr>
        <w:t>articles,</w:t>
      </w:r>
      <w:r>
        <w:rPr>
          <w:color w:val="6E6158"/>
          <w:spacing w:val="24"/>
        </w:rPr>
        <w:t> </w:t>
      </w:r>
      <w:r>
        <w:rPr>
          <w:color w:val="6E6158"/>
        </w:rPr>
        <w:t>has</w:t>
      </w:r>
      <w:r>
        <w:rPr>
          <w:color w:val="6E6158"/>
          <w:spacing w:val="24"/>
        </w:rPr>
        <w:t> </w:t>
      </w:r>
      <w:r>
        <w:rPr>
          <w:color w:val="6E6158"/>
        </w:rPr>
        <w:t>served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an</w:t>
      </w:r>
    </w:p>
    <w:p>
      <w:pPr>
        <w:pStyle w:val="BodyText"/>
        <w:spacing w:line="297" w:lineRule="auto" w:before="1"/>
        <w:ind w:left="99" w:right="240"/>
      </w:pPr>
      <w:r>
        <w:rPr>
          <w:color w:val="6E6158"/>
        </w:rPr>
        <w:t>adjunct professor at McGeorge Law School, Cosumnes River College and UC Davis.</w:t>
      </w:r>
      <w:r>
        <w:rPr>
          <w:color w:val="6E6158"/>
          <w:spacing w:val="80"/>
        </w:rPr>
        <w:t> </w:t>
      </w:r>
      <w:r>
        <w:rPr>
          <w:color w:val="6E6158"/>
        </w:rPr>
        <w:t>Cameron has chaired numerous professional CPA and legal tax associations, and has been a speaker before</w:t>
      </w:r>
      <w:r>
        <w:rPr>
          <w:color w:val="6E6158"/>
          <w:spacing w:val="34"/>
        </w:rPr>
        <w:t> </w:t>
      </w:r>
      <w:r>
        <w:rPr>
          <w:color w:val="6E6158"/>
        </w:rPr>
        <w:t>national,</w:t>
      </w:r>
      <w:r>
        <w:rPr>
          <w:color w:val="6E6158"/>
          <w:spacing w:val="34"/>
        </w:rPr>
        <w:t> </w:t>
      </w:r>
      <w:r>
        <w:rPr>
          <w:color w:val="6E6158"/>
        </w:rPr>
        <w:t>state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local</w:t>
      </w:r>
      <w:r>
        <w:rPr>
          <w:color w:val="6E6158"/>
          <w:spacing w:val="34"/>
        </w:rPr>
        <w:t> </w:t>
      </w:r>
      <w:r>
        <w:rPr>
          <w:color w:val="6E6158"/>
        </w:rPr>
        <w:t>professional</w:t>
      </w:r>
      <w:r>
        <w:rPr>
          <w:color w:val="6E6158"/>
          <w:spacing w:val="34"/>
        </w:rPr>
        <w:t> </w:t>
      </w:r>
      <w:r>
        <w:rPr>
          <w:color w:val="6E6158"/>
        </w:rPr>
        <w:t>associations,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government</w:t>
      </w:r>
      <w:r>
        <w:rPr>
          <w:color w:val="6E6158"/>
          <w:spacing w:val="34"/>
        </w:rPr>
        <w:t> </w:t>
      </w:r>
      <w:r>
        <w:rPr>
          <w:color w:val="6E6158"/>
        </w:rPr>
        <w:t>associations.</w:t>
      </w:r>
      <w:r>
        <w:rPr>
          <w:color w:val="6E6158"/>
          <w:spacing w:val="80"/>
        </w:rPr>
        <w:t> </w:t>
      </w:r>
      <w:r>
        <w:rPr>
          <w:color w:val="6E6158"/>
        </w:rPr>
        <w:t>Mr.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Hess</w:t>
      </w:r>
      <w:r>
        <w:rPr>
          <w:color w:val="6E6158"/>
          <w:spacing w:val="11"/>
        </w:rPr>
        <w:t> </w:t>
      </w:r>
      <w:r>
        <w:rPr>
          <w:color w:val="6E6158"/>
        </w:rPr>
        <w:t>has</w:t>
      </w:r>
      <w:r>
        <w:rPr>
          <w:color w:val="6E6158"/>
          <w:spacing w:val="12"/>
        </w:rPr>
        <w:t> </w:t>
      </w:r>
      <w:r>
        <w:rPr>
          <w:color w:val="6E6158"/>
        </w:rPr>
        <w:t>appeared</w:t>
      </w:r>
      <w:r>
        <w:rPr>
          <w:color w:val="6E6158"/>
          <w:spacing w:val="11"/>
        </w:rPr>
        <w:t> </w:t>
      </w:r>
      <w:r>
        <w:rPr>
          <w:color w:val="6E6158"/>
        </w:rPr>
        <w:t>before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Franchise</w:t>
      </w:r>
      <w:r>
        <w:rPr>
          <w:color w:val="6E6158"/>
          <w:spacing w:val="11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Board.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/>
        <w:ind w:left="99" w:right="376"/>
      </w:pPr>
      <w:r>
        <w:rPr>
          <w:color w:val="6E6158"/>
        </w:rPr>
        <w:t>Cameron previously served on the Board of Easter Seals Superior California and was an advisor</w:t>
      </w:r>
      <w:r>
        <w:rPr>
          <w:color w:val="6E6158"/>
          <w:spacing w:val="80"/>
        </w:rPr>
        <w:t> </w:t>
      </w:r>
      <w:r>
        <w:rPr>
          <w:color w:val="6E6158"/>
        </w:rPr>
        <w:t>to Easter Seals Leadership Association.</w:t>
      </w:r>
      <w:r>
        <w:rPr>
          <w:color w:val="6E6158"/>
          <w:spacing w:val="80"/>
        </w:rPr>
        <w:t> </w:t>
      </w:r>
      <w:r>
        <w:rPr>
          <w:color w:val="6E6158"/>
        </w:rPr>
        <w:t>He continues to serve on professional boards and conference committees to provide programming for CPAs and attorneys.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158044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4463pt;width:1.65pt;height:1.65pt;mso-position-horizontal-relative:page;mso-position-vertical-relative:paragraph;z-index:15729152" id="docshape11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Southern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7" w:lineRule="auto" w:before="174"/>
        <w:ind w:right="53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175139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0501pt;width:1.65pt;height:1.65pt;mso-position-horizontal-relative:page;mso-position-vertical-relative:paragraph;z-index:15729664" id="docshape12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433504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4243pt;width:1.65pt;height:1.65pt;mso-position-horizontal-relative:page;mso-position-vertical-relative:paragraph;z-index:15730176" id="docshape13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M.S. University of Southern </w:t>
      </w:r>
      <w:r>
        <w:rPr>
          <w:color w:val="6E6158"/>
        </w:rPr>
        <w:t>California</w:t>
      </w:r>
      <w:r>
        <w:rPr>
          <w:color w:val="6E6158"/>
        </w:rPr>
        <w:t> B.S.,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Berkele</w:t>
      </w:r>
      <w:r>
        <w:rPr>
          <w:color w:val="6E6158"/>
          <w:spacing w:val="-2"/>
        </w:rPr>
        <w:t>y</w:t>
      </w:r>
    </w:p>
    <w:p>
      <w:pPr>
        <w:pStyle w:val="Heading1"/>
        <w:spacing w:before="15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65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157669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4906pt;width:1.65pt;height:1.65pt;mso-position-horizontal-relative:page;mso-position-vertical-relative:paragraph;z-index:15730688" id="docshape14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416034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8648pt;width:1.65pt;height:1.65pt;mso-position-horizontal-relative:page;mso-position-vertical-relative:paragraph;z-index:15731200" id="docshape15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Mergers &amp; </w:t>
      </w:r>
      <w:r>
        <w:rPr>
          <w:color w:val="6E6158"/>
        </w:rPr>
        <w:t>Acquisitions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right="77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712" id="docshape1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2224" id="docshape17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-9"/>
        </w:rPr>
        <w:t> </w:t>
      </w:r>
      <w:r>
        <w:rPr>
          <w:color w:val="6E6158"/>
        </w:rPr>
        <w:t>Estate Tax Law</w:t>
      </w:r>
    </w:p>
    <w:p>
      <w:pPr>
        <w:pStyle w:val="BodyText"/>
        <w:spacing w:line="420" w:lineRule="auto" w:before="7"/>
        <w:ind w:right="7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63888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87pt;width:1.65pt;height:1.65pt;mso-position-horizontal-relative:page;mso-position-vertical-relative:paragraph;z-index:15732736" id="docshape18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322254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4336pt;width:1.65pt;height:1.65pt;mso-position-horizontal-relative:page;mso-position-vertical-relative:paragraph;z-index:15733248" id="docshape19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37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158123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0668pt;width:1.65pt;height:1.65pt;mso-position-horizontal-relative:page;mso-position-vertical-relative:paragraph;z-index:15733760" id="docshape20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spacing w:val="10"/>
        </w:rPr>
        <w:t> </w:t>
      </w:r>
      <w:r>
        <w:rPr>
          <w:color w:val="6E6158"/>
        </w:rPr>
        <w:t>Preeminent</w:t>
      </w:r>
      <w:r>
        <w:rPr>
          <w:color w:val="6E6158"/>
          <w:spacing w:val="10"/>
        </w:rPr>
        <w:t> </w:t>
      </w:r>
      <w:r>
        <w:rPr>
          <w:color w:val="6E6158"/>
        </w:rPr>
        <w:t>5.0</w:t>
      </w:r>
      <w:r>
        <w:rPr>
          <w:color w:val="6E6158"/>
          <w:spacing w:val="11"/>
        </w:rPr>
        <w:t> </w:t>
      </w:r>
      <w:r>
        <w:rPr>
          <w:color w:val="6E6158"/>
        </w:rPr>
        <w:t>Peer</w:t>
      </w:r>
      <w:r>
        <w:rPr>
          <w:color w:val="6E6158"/>
          <w:spacing w:val="10"/>
        </w:rPr>
        <w:t> </w:t>
      </w:r>
      <w:r>
        <w:rPr>
          <w:color w:val="6E6158"/>
        </w:rPr>
        <w:t>Review</w:t>
      </w:r>
      <w:r>
        <w:rPr>
          <w:color w:val="6E6158"/>
          <w:spacing w:val="10"/>
        </w:rPr>
        <w:t> </w:t>
      </w:r>
      <w:r>
        <w:rPr>
          <w:color w:val="6E6158"/>
        </w:rPr>
        <w:t>Rated</w:t>
      </w:r>
      <w:r>
        <w:rPr>
          <w:color w:val="6E6158"/>
          <w:spacing w:val="11"/>
        </w:rPr>
        <w:t> </w:t>
      </w:r>
      <w:r>
        <w:rPr>
          <w:color w:val="6E6158"/>
        </w:rPr>
        <w:t>by</w:t>
      </w:r>
      <w:r>
        <w:rPr>
          <w:color w:val="6E6158"/>
          <w:spacing w:val="10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line="292" w:lineRule="auto" w:before="155"/>
        <w:ind w:right="3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250868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5346pt;width:1.65pt;height:1.65pt;mso-position-horizontal-relative:page;mso-position-vertical-relative:paragraph;z-index:15734272" id="docshape21" coordorigin="1670,395" coordsize="33,33" path="m1691,428l1682,428,1678,426,1671,420,1670,416,1670,407,1671,403,1678,397,1682,395,1691,395,1694,397,1701,403,1702,407,1702,411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Navigating unitary taxation in California for businesses and non-</w:t>
        </w:r>
        <w:r>
          <w:rPr>
            <w:color w:val="F5821F"/>
          </w:rPr>
          <w:t>residents</w:t>
        </w:r>
      </w:hyperlink>
      <w:r>
        <w:rPr>
          <w:color w:val="6E6158"/>
        </w:rPr>
        <w:t>,” Sacramento Business Journal, August 1, 2024</w:t>
      </w:r>
    </w:p>
    <w:p>
      <w:pPr>
        <w:pStyle w:val="BodyText"/>
        <w:spacing w:line="420" w:lineRule="auto" w:before="123"/>
        <w:ind w:right="6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142882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0572pt;width:1.65pt;height:1.65pt;mso-position-horizontal-relative:page;mso-position-vertical-relative:paragraph;z-index:15734784" id="docshape22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401248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94334pt;width:1.65pt;height:1.65pt;mso-position-horizontal-relative:page;mso-position-vertical-relative:paragraph;z-index:15735296" id="docshape23" coordorigin="1670,632" coordsize="33,33" path="m1691,664l1682,664,1678,663,1671,656,1670,653,1670,644,1671,640,1678,633,1682,632,1691,632,1694,633,1701,640,1702,644,1702,648,1702,653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Corporate Transparency Act Presentation, Firm Presentation, February 15, </w:t>
      </w:r>
      <w:r>
        <w:rPr>
          <w:color w:val="6E6158"/>
        </w:rPr>
        <w:t>2024 Co-Author, Corporate Transparency Act, Firm Newsletter, January 19, 2024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63768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1117pt;width:1.65pt;height:1.65pt;mso-position-horizontal-relative:page;mso-position-vertical-relative:paragraph;z-index:15735808" id="docshape24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9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Virtual</w:t>
      </w:r>
      <w:r>
        <w:rPr>
          <w:color w:val="6E6158"/>
          <w:spacing w:val="10"/>
        </w:rPr>
        <w:t> </w:t>
      </w:r>
      <w:r>
        <w:rPr>
          <w:color w:val="6E6158"/>
        </w:rPr>
        <w:t>Conference,</w:t>
      </w:r>
      <w:r>
        <w:rPr>
          <w:color w:val="6E6158"/>
          <w:spacing w:val="9"/>
        </w:rPr>
        <w:t> </w:t>
      </w:r>
      <w:r>
        <w:rPr>
          <w:color w:val="6E6158"/>
        </w:rPr>
        <w:t>CalCPA,</w:t>
      </w:r>
      <w:r>
        <w:rPr>
          <w:color w:val="6E6158"/>
          <w:spacing w:val="10"/>
        </w:rPr>
        <w:t> </w:t>
      </w:r>
      <w:r>
        <w:rPr>
          <w:color w:val="6E6158"/>
        </w:rPr>
        <w:t>January</w:t>
      </w:r>
      <w:r>
        <w:rPr>
          <w:color w:val="6E6158"/>
          <w:spacing w:val="10"/>
        </w:rPr>
        <w:t> </w:t>
      </w:r>
      <w:r>
        <w:rPr>
          <w:color w:val="6E6158"/>
        </w:rPr>
        <w:t>19,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262774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0910pt;width:1.65pt;height:1.65pt;mso-position-horizontal-relative:page;mso-position-vertical-relative:paragraph;z-index:15736320" id="docshape25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How To Factor In Taxes When Considering Special Needs Trusts / (ABLE) Accounts, Financial Advisor, July 13, 2021</w:t>
      </w:r>
    </w:p>
    <w:p>
      <w:pPr>
        <w:pStyle w:val="Heading1"/>
        <w:spacing w:before="28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2" w:lineRule="auto" w:before="147"/>
        <w:ind w:right="4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157910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3897pt;width:1.65pt;height:1.65pt;mso-position-horizontal-relative:page;mso-position-vertical-relative:paragraph;z-index:15736832" id="docshape26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416276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7645pt;width:1.65pt;height:1.65pt;mso-position-horizontal-relative:page;mso-position-vertical-relative:paragraph;z-index:15737344" id="docshape27" coordorigin="1670,656" coordsize="33,33" path="m1691,688l1682,688,1678,687,1671,680,1670,676,1670,667,1671,663,1678,657,1682,656,1691,656,1694,657,1701,663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679808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52824pt;width:1.65pt;height:1.65pt;mso-position-horizontal-relative:page;mso-position-vertical-relative:paragraph;z-index:15737856" id="docshape28" coordorigin="1670,1071" coordsize="33,33" path="m1691,1103l1682,1103,1678,1102,1671,1095,1670,1091,1670,1082,1671,1079,1678,1072,1682,1071,1691,1071,1694,1072,1701,1079,1702,1082,1702,1087,1702,1091,1701,1095,1694,1102,1691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938174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871994pt;width:1.65pt;height:1.65pt;mso-position-horizontal-relative:page;mso-position-vertical-relative:paragraph;z-index:15738368" id="docshape29" coordorigin="1670,1477" coordsize="33,33" path="m1691,1510l1682,1510,1678,1508,1671,1502,1670,1498,1670,1489,1671,1485,1678,1479,1682,1477,1691,1477,1694,1479,1701,1485,1702,1489,1702,1494,1702,1498,1701,1502,1694,1508,1691,151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 Writer, Spidell’s California Tax Letter Member, Tax Section, American Bar Association Member, Tax Section, State Bar of California Member, Business Section, State Bar of </w:t>
      </w:r>
      <w:r>
        <w:rPr>
          <w:color w:val="6E6158"/>
        </w:rPr>
        <w:t>California</w:t>
      </w:r>
    </w:p>
    <w:p>
      <w:pPr>
        <w:pStyle w:val="BodyText"/>
        <w:spacing w:line="420" w:lineRule="auto" w:before="4"/>
        <w:ind w:right="28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61796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65893pt;width:1.65pt;height:1.65pt;mso-position-horizontal-relative:page;mso-position-vertical-relative:paragraph;z-index:15738880" id="docshape30" coordorigin="1670,97" coordsize="33,33" path="m1691,130l1682,130,1678,128,1671,122,1670,118,1670,109,1671,105,1678,99,1682,97,1691,97,1694,99,1701,105,1702,109,1702,114,1702,118,1701,122,1694,128,1691,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320162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09637pt;width:1.65pt;height:1.65pt;mso-position-horizontal-relative:page;mso-position-vertical-relative:paragraph;z-index:15739392" id="docshape31" coordorigin="1670,504" coordsize="33,33" path="m1691,537l1682,537,1678,535,1671,529,1670,525,1670,516,1671,512,1678,506,1682,504,1691,504,1694,506,1701,512,1702,516,1702,520,1702,525,1701,529,1694,535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583694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960228pt;width:1.65pt;height:1.65pt;mso-position-horizontal-relative:page;mso-position-vertical-relative:paragraph;z-index:15739904" id="docshape32" coordorigin="1670,919" coordsize="33,33" path="m1691,952l1682,952,1678,950,1671,944,1670,940,1670,931,1671,927,1678,921,1682,919,1691,919,1694,921,1701,927,1702,931,1702,935,1702,940,1701,944,1694,950,1691,9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Tax Section, Sacramento County Bar Association Member, Business Section, Sacramento County Bar </w:t>
      </w:r>
      <w:r>
        <w:rPr>
          <w:color w:val="6E6158"/>
        </w:rPr>
        <w:t>Association Chair, CalCPA Estate Planning Committee</w:t>
      </w:r>
    </w:p>
    <w:p>
      <w:pPr>
        <w:pStyle w:val="BodyText"/>
        <w:spacing w:line="427" w:lineRule="auto"/>
        <w:ind w:right="28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62909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53519pt;width:1.65pt;height:1.65pt;mso-position-horizontal-relative:page;mso-position-vertical-relative:paragraph;z-index:15740416" id="docshape33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321275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97262pt;width:1.65pt;height:1.65pt;mso-position-horizontal-relative:page;mso-position-vertical-relative:paragraph;z-index:15740928" id="docshape34" coordorigin="1670,506" coordsize="33,33" path="m1691,538l1682,538,1678,537,1671,531,1670,527,1670,518,1671,514,1678,508,1682,506,1691,506,1694,508,1701,514,1702,518,1702,522,1702,527,1701,531,1694,537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 CalCPA Chapter Real Estate Committee (RED </w:t>
      </w:r>
      <w:r>
        <w:rPr>
          <w:color w:val="6E6158"/>
        </w:rPr>
        <w:t>Group) Member, Beta Alpha Pi</w:t>
      </w:r>
    </w:p>
    <w:p>
      <w:pPr>
        <w:pStyle w:val="BodyText"/>
        <w:spacing w:line="420" w:lineRule="auto"/>
        <w:ind w:right="53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53024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175176pt;width:1.65pt;height:1.65pt;mso-position-horizontal-relative:page;mso-position-vertical-relative:paragraph;z-index:15741440" id="docshape35" coordorigin="1670,84" coordsize="33,33" path="m1691,116l1682,116,1678,114,1671,108,1670,104,1670,95,1671,91,1678,85,1682,84,1691,84,1694,85,1701,91,1702,95,1702,100,1702,104,1701,108,1694,114,1691,1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316557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25791pt;width:1.65pt;height:1.65pt;mso-position-horizontal-relative:page;mso-position-vertical-relative:paragraph;z-index:15741952" id="docshape36" coordorigin="1670,499" coordsize="33,33" path="m1691,531l1682,531,1678,529,1671,523,1670,519,1670,510,1671,506,1678,500,1682,499,1691,499,1694,500,1701,506,1702,510,1702,515,1702,519,1701,523,1694,529,1691,5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Tax Law Journal </w:t>
      </w:r>
      <w:r>
        <w:rPr>
          <w:color w:val="6E6158"/>
        </w:rPr>
        <w:t>(USC) Member, Phi Alpha Delta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57182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502590pt;width:1.65pt;height:1.65pt;mso-position-horizontal-relative:page;mso-position-vertical-relative:paragraph;z-index:15742464" id="docshape37" coordorigin="1670,90" coordsize="33,33" path="m1691,123l1682,123,1678,121,1671,115,1670,111,1670,102,1671,98,1678,92,1682,90,1691,90,1694,92,1701,98,1702,102,1702,106,1702,111,1701,115,1694,121,1691,1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Instructor,</w:t>
      </w:r>
      <w:r>
        <w:rPr>
          <w:color w:val="6E6158"/>
          <w:spacing w:val="12"/>
        </w:rPr>
        <w:t> </w:t>
      </w:r>
      <w:r>
        <w:rPr>
          <w:color w:val="6E6158"/>
        </w:rPr>
        <w:t>McGeorge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3"/>
        </w:rPr>
        <w:t> </w:t>
      </w:r>
      <w:r>
        <w:rPr>
          <w:color w:val="6E6158"/>
        </w:rPr>
        <w:t>(Partnership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Taxation)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152540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1057pt;width:1.65pt;height:1.65pt;mso-position-horizontal-relative:page;mso-position-vertical-relative:paragraph;z-index:15742976" id="docshape38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175437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3992pt;width:1.65pt;height:1.65pt;mso-position-horizontal-relative:page;mso-position-vertical-relative:paragraph;z-index:15743488" id="docshape39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9th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175387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0029pt;width:1.65pt;height:1.65pt;mso-position-horizontal-relative:page;mso-position-vertical-relative:paragraph;z-index:15744000" id="docshape4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175337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67pt;width:1.65pt;height:1.65pt;mso-position-horizontal-relative:page;mso-position-vertical-relative:paragraph;z-index:15744512" id="docshape4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170206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2105pt;width:1.65pt;height:1.65pt;mso-position-horizontal-relative:page;mso-position-vertical-relative:paragraph;z-index:15745024" id="docshape42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175324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039pt;width:1.65pt;height:1.65pt;mso-position-horizontal-relative:page;mso-position-vertical-relative:paragraph;z-index:15745536" id="docshape4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Certified</w:t>
      </w:r>
      <w:r>
        <w:rPr>
          <w:color w:val="6E6158"/>
          <w:spacing w:val="14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Accountant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chess@fennemorelaw.com" TargetMode="External"/><Relationship Id="rId11" Type="http://schemas.openxmlformats.org/officeDocument/2006/relationships/hyperlink" Target="https://www.bizjournals.com/sacramento/news/2024/08/01/unitary-taxation-california-businesses-nonresident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Cameron Hess - Fennemore</dc:title>
  <dcterms:created xsi:type="dcterms:W3CDTF">2026-02-20T19:12:03Z</dcterms:created>
  <dcterms:modified xsi:type="dcterms:W3CDTF">2026-02-20T19:12:03Z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2026-02-20T00:00:00Z</vt:filetime>
  </property>
  <property fmtid="{D5CDD505-2E9C-101B-9397-08002B2CF9AE}" pid="5" name="Producer">
    <vt:lpwstr>Skia/PDF m142</vt:lpwstr>
  </property>
</Properties>
</file>