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364229"/>
                <wp:effectExtent l="0" t="0" r="0" b="762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364229"/>
                          <a:chExt cx="6071870" cy="3364229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Elise OBri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0952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095625">
                                <a:moveTo>
                                  <a:pt x="3033212" y="3095220"/>
                                </a:moveTo>
                                <a:lnTo>
                                  <a:pt x="0" y="3095220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0952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30956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ELISE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O’BRIEN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Labor</w:t>
                                </w:r>
                                <w:r>
                                  <w:rPr>
                                    <w:color w:val="FFFFFF"/>
                                    <w:spacing w:val="2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Employment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Orange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County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949.752.0953</w:t>
                              </w:r>
                            </w:p>
                            <w:p>
                              <w:pPr>
                                <w:spacing w:line="240" w:lineRule="auto" w:before="73"/>
                                <w:rPr>
                                  <w:sz w:val="17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Seattle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949.430.3417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949.752.0953</w:t>
                              </w:r>
                            </w:p>
                            <w:p>
                              <w:pPr>
                                <w:spacing w:before="127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eobrien@fennemorelaw.com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64.9pt;mso-position-horizontal-relative:char;mso-position-vertical-relative:line" id="docshapegroup1" coordorigin="0,0" coordsize="9562,5298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875" type="#_x0000_t75" id="docshape3" alt="Elise OBrien Bio" stroked="false">
                  <v:imagedata r:id="rId7" o:title=""/>
                </v:shape>
                <v:rect style="position:absolute;left:4784;top:423;width:4777;height:4875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875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ELISE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O’BRIEN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Labor</w:t>
                          </w:r>
                          <w:r>
                            <w:rPr>
                              <w:color w:val="FFFFFF"/>
                              <w:spacing w:val="2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Employment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Orange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County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949.752.0953</w:t>
                        </w:r>
                      </w:p>
                      <w:p>
                        <w:pPr>
                          <w:spacing w:line="240" w:lineRule="auto" w:before="73"/>
                          <w:rPr>
                            <w:sz w:val="17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Seattle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949.430.3417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949.752.0953</w:t>
                        </w:r>
                      </w:p>
                      <w:p>
                        <w:pPr>
                          <w:spacing w:before="127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eobrien@fennemorelaw.com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6"/>
      </w:pPr>
      <w:r>
        <w:rPr>
          <w:color w:val="FF8100"/>
        </w:rPr>
        <w:t>ELISE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O'BRIEN</w:t>
      </w:r>
    </w:p>
    <w:p>
      <w:pPr>
        <w:pStyle w:val="BodyText"/>
        <w:spacing w:line="295" w:lineRule="auto" w:before="146"/>
        <w:ind w:left="99" w:right="647"/>
      </w:pPr>
      <w:r>
        <w:rPr>
          <w:color w:val="6E6158"/>
        </w:rPr>
        <w:t>Elise O’Brien is a director in our Irvine office who works in our Agribusiness and Employment &amp;</w:t>
      </w:r>
      <w:r>
        <w:rPr>
          <w:color w:val="6E6158"/>
          <w:spacing w:val="80"/>
        </w:rPr>
        <w:t> </w:t>
      </w:r>
      <w:r>
        <w:rPr>
          <w:color w:val="6E6158"/>
        </w:rPr>
        <w:t>Labor</w:t>
      </w:r>
      <w:r>
        <w:rPr>
          <w:color w:val="6E6158"/>
          <w:spacing w:val="35"/>
        </w:rPr>
        <w:t> </w:t>
      </w:r>
      <w:r>
        <w:rPr>
          <w:color w:val="6E6158"/>
        </w:rPr>
        <w:t>practice</w:t>
      </w:r>
      <w:r>
        <w:rPr>
          <w:color w:val="6E6158"/>
          <w:spacing w:val="35"/>
        </w:rPr>
        <w:t> </w:t>
      </w:r>
      <w:r>
        <w:rPr>
          <w:color w:val="6E6158"/>
        </w:rPr>
        <w:t>groups.</w:t>
      </w:r>
      <w:r>
        <w:rPr>
          <w:color w:val="6E6158"/>
          <w:spacing w:val="35"/>
        </w:rPr>
        <w:t> </w:t>
      </w:r>
      <w:r>
        <w:rPr>
          <w:color w:val="6E6158"/>
        </w:rPr>
        <w:t>Elise</w:t>
      </w:r>
      <w:r>
        <w:rPr>
          <w:color w:val="6E6158"/>
          <w:spacing w:val="35"/>
        </w:rPr>
        <w:t> </w:t>
      </w:r>
      <w:r>
        <w:rPr>
          <w:color w:val="6E6158"/>
        </w:rPr>
        <w:t>has</w:t>
      </w:r>
      <w:r>
        <w:rPr>
          <w:color w:val="6E6158"/>
          <w:spacing w:val="35"/>
        </w:rPr>
        <w:t> </w:t>
      </w:r>
      <w:r>
        <w:rPr>
          <w:color w:val="6E6158"/>
        </w:rPr>
        <w:t>extensive</w:t>
      </w:r>
      <w:r>
        <w:rPr>
          <w:color w:val="6E6158"/>
          <w:spacing w:val="35"/>
        </w:rPr>
        <w:t> </w:t>
      </w:r>
      <w:r>
        <w:rPr>
          <w:color w:val="6E6158"/>
        </w:rPr>
        <w:t>experience</w:t>
      </w:r>
      <w:r>
        <w:rPr>
          <w:color w:val="6E6158"/>
          <w:spacing w:val="35"/>
        </w:rPr>
        <w:t> </w:t>
      </w:r>
      <w:r>
        <w:rPr>
          <w:color w:val="6E6158"/>
        </w:rPr>
        <w:t>representing</w:t>
      </w:r>
      <w:r>
        <w:rPr>
          <w:color w:val="6E6158"/>
          <w:spacing w:val="35"/>
        </w:rPr>
        <w:t> </w:t>
      </w:r>
      <w:r>
        <w:rPr>
          <w:color w:val="6E6158"/>
        </w:rPr>
        <w:t>employers</w:t>
      </w:r>
      <w:r>
        <w:rPr>
          <w:color w:val="6E6158"/>
          <w:spacing w:val="35"/>
        </w:rPr>
        <w:t> </w:t>
      </w:r>
      <w:r>
        <w:rPr>
          <w:color w:val="6E6158"/>
        </w:rPr>
        <w:t>in</w:t>
      </w:r>
      <w:r>
        <w:rPr>
          <w:color w:val="6E6158"/>
          <w:spacing w:val="35"/>
        </w:rPr>
        <w:t> </w:t>
      </w:r>
      <w:r>
        <w:rPr>
          <w:color w:val="6E6158"/>
        </w:rPr>
        <w:t>federal</w:t>
      </w:r>
      <w:r>
        <w:rPr>
          <w:color w:val="6E6158"/>
          <w:spacing w:val="35"/>
        </w:rPr>
        <w:t> </w:t>
      </w:r>
      <w:r>
        <w:rPr>
          <w:color w:val="6E6158"/>
        </w:rPr>
        <w:t>and state court litigation involving wrongful termination, discrimination, harassment, retaliation, and</w:t>
      </w:r>
      <w:r>
        <w:rPr>
          <w:color w:val="6E6158"/>
          <w:spacing w:val="40"/>
        </w:rPr>
        <w:t> </w:t>
      </w:r>
      <w:r>
        <w:rPr>
          <w:color w:val="6E6158"/>
        </w:rPr>
        <w:t>wage and hour claims. She has successfully represented management in various administrative</w:t>
      </w:r>
      <w:r>
        <w:rPr>
          <w:color w:val="6E6158"/>
          <w:spacing w:val="40"/>
        </w:rPr>
        <w:t> </w:t>
      </w:r>
      <w:r>
        <w:rPr>
          <w:color w:val="6E6158"/>
        </w:rPr>
        <w:t>forums, including the California Division of Labor Standards and Enforcement, the California Civil</w:t>
      </w:r>
      <w:r>
        <w:rPr>
          <w:color w:val="6E6158"/>
          <w:spacing w:val="40"/>
        </w:rPr>
        <w:t> </w:t>
      </w:r>
      <w:r>
        <w:rPr>
          <w:color w:val="6E6158"/>
        </w:rPr>
        <w:t>Rights</w:t>
      </w:r>
      <w:r>
        <w:rPr>
          <w:color w:val="6E6158"/>
          <w:spacing w:val="40"/>
        </w:rPr>
        <w:t> </w:t>
      </w:r>
      <w:r>
        <w:rPr>
          <w:color w:val="6E6158"/>
        </w:rPr>
        <w:t>Department,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Unemployment</w:t>
      </w:r>
      <w:r>
        <w:rPr>
          <w:color w:val="6E6158"/>
          <w:spacing w:val="40"/>
        </w:rPr>
        <w:t> </w:t>
      </w:r>
      <w:r>
        <w:rPr>
          <w:color w:val="6E6158"/>
        </w:rPr>
        <w:t>Insurance</w:t>
      </w:r>
      <w:r>
        <w:rPr>
          <w:color w:val="6E6158"/>
          <w:spacing w:val="40"/>
        </w:rPr>
        <w:t> </w:t>
      </w:r>
      <w:r>
        <w:rPr>
          <w:color w:val="6E6158"/>
        </w:rPr>
        <w:t>Appeals</w:t>
      </w:r>
      <w:r>
        <w:rPr>
          <w:color w:val="6E6158"/>
          <w:spacing w:val="40"/>
        </w:rPr>
        <w:t> </w:t>
      </w:r>
      <w:r>
        <w:rPr>
          <w:color w:val="6E6158"/>
        </w:rPr>
        <w:t>Board,</w:t>
      </w:r>
      <w:r>
        <w:rPr>
          <w:color w:val="6E6158"/>
          <w:spacing w:val="40"/>
        </w:rPr>
        <w:t> </w:t>
      </w:r>
      <w:r>
        <w:rPr>
          <w:color w:val="6E6158"/>
        </w:rPr>
        <w:t>the</w:t>
      </w:r>
      <w:r>
        <w:rPr>
          <w:color w:val="6E6158"/>
          <w:spacing w:val="40"/>
        </w:rPr>
        <w:t> </w:t>
      </w:r>
      <w:r>
        <w:rPr>
          <w:color w:val="6E6158"/>
        </w:rPr>
        <w:t>Equal</w:t>
      </w:r>
    </w:p>
    <w:p>
      <w:pPr>
        <w:pStyle w:val="BodyText"/>
        <w:spacing w:before="6"/>
        <w:ind w:left="99"/>
      </w:pPr>
      <w:r>
        <w:rPr>
          <w:color w:val="6E6158"/>
        </w:rPr>
        <w:t>Employment</w:t>
      </w:r>
      <w:r>
        <w:rPr>
          <w:color w:val="6E6158"/>
          <w:spacing w:val="16"/>
        </w:rPr>
        <w:t> </w:t>
      </w:r>
      <w:r>
        <w:rPr>
          <w:color w:val="6E6158"/>
        </w:rPr>
        <w:t>Opportunity</w:t>
      </w:r>
      <w:r>
        <w:rPr>
          <w:color w:val="6E6158"/>
          <w:spacing w:val="16"/>
        </w:rPr>
        <w:t> </w:t>
      </w:r>
      <w:r>
        <w:rPr>
          <w:color w:val="6E6158"/>
        </w:rPr>
        <w:t>Commission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Labor</w:t>
      </w:r>
      <w:r>
        <w:rPr>
          <w:color w:val="6E6158"/>
          <w:spacing w:val="17"/>
        </w:rPr>
        <w:t> </w:t>
      </w:r>
      <w:r>
        <w:rPr>
          <w:color w:val="6E6158"/>
        </w:rPr>
        <w:t>Relations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Board.</w:t>
      </w:r>
    </w:p>
    <w:p>
      <w:pPr>
        <w:pStyle w:val="BodyText"/>
        <w:spacing w:before="14"/>
        <w:ind w:left="0"/>
      </w:pPr>
    </w:p>
    <w:p>
      <w:pPr>
        <w:pStyle w:val="BodyText"/>
        <w:spacing w:line="295" w:lineRule="auto" w:before="1"/>
        <w:ind w:left="99" w:right="392"/>
      </w:pPr>
      <w:r>
        <w:rPr>
          <w:color w:val="6E6158"/>
        </w:rPr>
        <w:t>Elise devotes a significant portion of her practice to advising employers on a broad spectrum of</w:t>
      </w:r>
      <w:r>
        <w:rPr>
          <w:color w:val="6E6158"/>
          <w:spacing w:val="40"/>
        </w:rPr>
        <w:t> </w:t>
      </w:r>
      <w:r>
        <w:rPr>
          <w:color w:val="6E6158"/>
        </w:rPr>
        <w:t>employment matters, including employee discipline, terminations, leaves of absence, and </w:t>
      </w:r>
      <w:r>
        <w:rPr>
          <w:color w:val="6E6158"/>
        </w:rPr>
        <w:t>wage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hour</w:t>
      </w:r>
      <w:r>
        <w:rPr>
          <w:color w:val="6E6158"/>
          <w:spacing w:val="26"/>
        </w:rPr>
        <w:t> </w:t>
      </w:r>
      <w:r>
        <w:rPr>
          <w:color w:val="6E6158"/>
        </w:rPr>
        <w:t>issues.</w:t>
      </w:r>
      <w:r>
        <w:rPr>
          <w:color w:val="6E6158"/>
          <w:spacing w:val="26"/>
        </w:rPr>
        <w:t> </w:t>
      </w:r>
      <w:r>
        <w:rPr>
          <w:color w:val="6E6158"/>
        </w:rPr>
        <w:t>Elise</w:t>
      </w:r>
      <w:r>
        <w:rPr>
          <w:color w:val="6E6158"/>
          <w:spacing w:val="26"/>
        </w:rPr>
        <w:t> </w:t>
      </w:r>
      <w:r>
        <w:rPr>
          <w:color w:val="6E6158"/>
        </w:rPr>
        <w:t>regularly</w:t>
      </w:r>
      <w:r>
        <w:rPr>
          <w:color w:val="6E6158"/>
          <w:spacing w:val="26"/>
        </w:rPr>
        <w:t> </w:t>
      </w:r>
      <w:r>
        <w:rPr>
          <w:color w:val="6E6158"/>
        </w:rPr>
        <w:t>assists</w:t>
      </w:r>
      <w:r>
        <w:rPr>
          <w:color w:val="6E6158"/>
          <w:spacing w:val="26"/>
        </w:rPr>
        <w:t> </w:t>
      </w:r>
      <w:r>
        <w:rPr>
          <w:color w:val="6E6158"/>
        </w:rPr>
        <w:t>employers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drafting</w:t>
      </w:r>
      <w:r>
        <w:rPr>
          <w:color w:val="6E6158"/>
          <w:spacing w:val="26"/>
        </w:rPr>
        <w:t> </w:t>
      </w:r>
      <w:r>
        <w:rPr>
          <w:color w:val="6E6158"/>
        </w:rPr>
        <w:t>employment</w:t>
      </w:r>
      <w:r>
        <w:rPr>
          <w:color w:val="6E6158"/>
          <w:spacing w:val="26"/>
        </w:rPr>
        <w:t> </w:t>
      </w:r>
      <w:r>
        <w:rPr>
          <w:color w:val="6E6158"/>
        </w:rPr>
        <w:t>policies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handbooks to ensure compliance with California, Washington, and federal law.</w:t>
      </w:r>
    </w:p>
    <w:p>
      <w:pPr>
        <w:pStyle w:val="BodyText"/>
        <w:spacing w:line="295" w:lineRule="auto" w:before="196"/>
        <w:ind w:left="99" w:right="647"/>
      </w:pPr>
      <w:r>
        <w:rPr>
          <w:color w:val="6E6158"/>
        </w:rPr>
        <w:t>In addition to her employment practice, Elise practices agricultural law and has nearly two</w:t>
      </w:r>
      <w:r>
        <w:rPr>
          <w:color w:val="6E6158"/>
          <w:spacing w:val="40"/>
        </w:rPr>
        <w:t> </w:t>
      </w:r>
      <w:r>
        <w:rPr>
          <w:color w:val="6E6158"/>
        </w:rPr>
        <w:t>decades of experience enforcing trust rights of produce sellers under the Perishable </w:t>
      </w:r>
      <w:r>
        <w:rPr>
          <w:color w:val="6E6158"/>
        </w:rPr>
        <w:t>Agricultural</w:t>
      </w:r>
      <w:r>
        <w:rPr>
          <w:color w:val="6E6158"/>
          <w:spacing w:val="40"/>
        </w:rPr>
        <w:t> </w:t>
      </w:r>
      <w:r>
        <w:rPr>
          <w:color w:val="6E6158"/>
        </w:rPr>
        <w:t>Commodities Act (PACA) in U.S. District and Bankruptcy Courts throughout the United States,</w:t>
      </w:r>
      <w:r>
        <w:rPr>
          <w:color w:val="6E6158"/>
          <w:spacing w:val="40"/>
        </w:rPr>
        <w:t> </w:t>
      </w:r>
      <w:r>
        <w:rPr>
          <w:color w:val="6E6158"/>
        </w:rPr>
        <w:t>including managing complex, multi-party PACA litigation. She also represents produce</w:t>
      </w:r>
      <w:r>
        <w:rPr>
          <w:color w:val="6E6158"/>
          <w:spacing w:val="40"/>
        </w:rPr>
        <w:t> </w:t>
      </w:r>
      <w:r>
        <w:rPr>
          <w:color w:val="6E6158"/>
        </w:rPr>
        <w:t>companies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individuals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administrative</w:t>
      </w:r>
      <w:r>
        <w:rPr>
          <w:color w:val="6E6158"/>
          <w:spacing w:val="31"/>
        </w:rPr>
        <w:t> </w:t>
      </w:r>
      <w:r>
        <w:rPr>
          <w:color w:val="6E6158"/>
        </w:rPr>
        <w:t>proceedings</w:t>
      </w:r>
      <w:r>
        <w:rPr>
          <w:color w:val="6E6158"/>
          <w:spacing w:val="31"/>
        </w:rPr>
        <w:t> </w:t>
      </w:r>
      <w:r>
        <w:rPr>
          <w:color w:val="6E6158"/>
        </w:rPr>
        <w:t>before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PACA</w:t>
      </w:r>
      <w:r>
        <w:rPr>
          <w:color w:val="6E6158"/>
          <w:spacing w:val="31"/>
        </w:rPr>
        <w:t> </w:t>
      </w:r>
      <w:r>
        <w:rPr>
          <w:color w:val="6E6158"/>
        </w:rPr>
        <w:t>Branch</w:t>
      </w:r>
      <w:r>
        <w:rPr>
          <w:color w:val="6E6158"/>
          <w:spacing w:val="31"/>
        </w:rPr>
        <w:t> </w:t>
      </w:r>
      <w:r>
        <w:rPr>
          <w:color w:val="6E6158"/>
        </w:rPr>
        <w:t>of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U.S.</w:t>
      </w:r>
    </w:p>
    <w:p>
      <w:pPr>
        <w:pStyle w:val="BodyText"/>
        <w:spacing w:line="232" w:lineRule="exact" w:before="0"/>
        <w:ind w:left="99"/>
      </w:pPr>
      <w:r>
        <w:rPr>
          <w:color w:val="6E6158"/>
        </w:rPr>
        <w:t>Department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Agriculture.</w:t>
      </w:r>
    </w:p>
    <w:p>
      <w:pPr>
        <w:pStyle w:val="BodyText"/>
        <w:spacing w:before="22"/>
        <w:ind w:left="0"/>
      </w:pPr>
    </w:p>
    <w:p>
      <w:pPr>
        <w:pStyle w:val="BodyText"/>
        <w:spacing w:line="292" w:lineRule="auto" w:before="0"/>
        <w:ind w:left="99" w:right="647"/>
      </w:pPr>
      <w:r>
        <w:rPr>
          <w:color w:val="6E6158"/>
        </w:rPr>
        <w:t>Outside of work, Elise enjoys traveling and spending time with her husband and two </w:t>
      </w:r>
      <w:r>
        <w:rPr>
          <w:color w:val="6E6158"/>
        </w:rPr>
        <w:t>young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children.</w:t>
      </w:r>
    </w:p>
    <w:p>
      <w:pPr>
        <w:pStyle w:val="BodyText"/>
        <w:spacing w:line="420" w:lineRule="auto" w:before="2"/>
        <w:ind w:right="63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65734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175977pt;width:1.65pt;height:1.65pt;mso-position-horizontal-relative:page;mso-position-vertical-relative:paragraph;z-index:15729152" id="docshape7" coordorigin="1670,104" coordsize="33,33" path="m1691,136l1682,136,1678,134,1671,128,1670,124,1670,115,1671,111,1678,105,1682,104,1691,104,1694,105,1701,111,1702,115,1702,120,1702,124,1701,128,1694,134,1691,13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324100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972pt;width:1.65pt;height:1.65pt;mso-position-horizontal-relative:page;mso-position-vertical-relative:paragraph;z-index:15729664" id="docshape8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</w:t>
      </w:r>
      <w:r>
        <w:rPr>
          <w:color w:val="6E6158"/>
          <w:spacing w:val="-2"/>
        </w:rPr>
        <w:t>Agribusiness</w:t>
      </w:r>
    </w:p>
    <w:p>
      <w:pPr>
        <w:pStyle w:val="BodyText"/>
        <w:spacing w:before="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63455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996519pt;width:1.65pt;height:1.65pt;mso-position-horizontal-relative:page;mso-position-vertical-relative:paragraph;z-index:15730176" id="docshape9" coordorigin="1670,100" coordsize="33,33" path="m1691,132l1682,132,1678,131,1671,125,1670,121,1670,112,1671,108,1678,102,1682,100,1691,100,1694,102,1701,108,1702,112,1702,116,1702,121,1701,125,1694,131,1691,1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Beverage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EDUCATION</w:t>
      </w:r>
    </w:p>
    <w:p>
      <w:pPr>
        <w:spacing w:before="137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Chapman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5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2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line="427" w:lineRule="auto" w:before="49"/>
        <w:ind w:left="604" w:right="56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132212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410416pt;width:1.65pt;height:1.65pt;mso-position-horizontal-relative:page;mso-position-vertical-relative:paragraph;z-index:15730688" id="docshape10" coordorigin="1670,208" coordsize="33,33" path="m1691,241l1682,241,1678,239,1671,233,1670,229,1670,220,1671,216,1678,210,1682,208,1691,208,1694,210,1701,216,1702,220,1702,224,1702,229,1701,233,1694,239,1691,24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1220533</wp:posOffset>
                </wp:positionH>
                <wp:positionV relativeFrom="paragraph">
                  <wp:posOffset>96041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7.562288pt;width:1.65pt;height:1.65pt;mso-position-horizontal-relative:page;mso-position-vertical-relative:paragraph;z-index:15731200" id="docshape11" coordorigin="1922,151" coordsize="33,33" path="m1943,184l1934,184,1930,182,1924,176,1922,172,1922,163,1924,159,1930,153,1934,151,1943,151,1947,153,1953,159,1955,163,1955,168,1955,172,1953,176,1947,182,1943,1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1220533</wp:posOffset>
                </wp:positionH>
                <wp:positionV relativeFrom="paragraph">
                  <wp:posOffset>354406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27.906031pt;width:1.65pt;height:1.65pt;mso-position-horizontal-relative:page;mso-position-vertical-relative:paragraph;z-index:15731712" id="docshape12" coordorigin="1922,558" coordsize="33,33" path="m1943,591l1934,591,1930,589,1924,583,1922,579,1922,570,1924,566,1930,560,1934,558,1943,558,1947,560,1953,566,1955,570,1955,574,1955,579,1953,583,1947,589,1943,5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Notes Editor, Chapman Law </w:t>
      </w:r>
      <w:r>
        <w:rPr>
          <w:color w:val="6E6158"/>
        </w:rPr>
        <w:t>Review Dean’s Fellow</w:t>
      </w:r>
    </w:p>
    <w:p>
      <w:pPr>
        <w:pStyle w:val="BodyText"/>
        <w:spacing w:after="0" w:line="427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spacing w:before="73" w:after="4"/>
        <w:ind w:left="351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B.S.,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Wright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magna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line="32" w:lineRule="exact"/>
        <w:ind w:left="229" w:right="0" w:firstLine="0"/>
        <w:rPr>
          <w:position w:val="0"/>
          <w:sz w:val="3"/>
        </w:rPr>
      </w:pPr>
      <w:r>
        <w:rPr>
          <w:position w:val="0"/>
          <w:sz w:val="3"/>
        </w:rPr>
        <mc:AlternateContent>
          <mc:Choice Requires="wps">
            <w:drawing>
              <wp:inline distT="0" distB="0" distL="0" distR="0">
                <wp:extent cx="20955" cy="20955"/>
                <wp:effectExtent l="0" t="0" r="0" b="0"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20955" cy="20955"/>
                          <a:chExt cx="20955" cy="2095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20955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55" h="20955">
                                <a:moveTo>
                                  <a:pt x="13188" y="20669"/>
                                </a:moveTo>
                                <a:lnTo>
                                  <a:pt x="7480" y="20669"/>
                                </a:lnTo>
                                <a:lnTo>
                                  <a:pt x="5044" y="19660"/>
                                </a:lnTo>
                                <a:lnTo>
                                  <a:pt x="1008" y="15624"/>
                                </a:lnTo>
                                <a:lnTo>
                                  <a:pt x="0" y="13188"/>
                                </a:lnTo>
                                <a:lnTo>
                                  <a:pt x="0" y="7480"/>
                                </a:lnTo>
                                <a:lnTo>
                                  <a:pt x="1008" y="5044"/>
                                </a:lnTo>
                                <a:lnTo>
                                  <a:pt x="5044" y="1008"/>
                                </a:lnTo>
                                <a:lnTo>
                                  <a:pt x="7480" y="0"/>
                                </a:lnTo>
                                <a:lnTo>
                                  <a:pt x="13188" y="0"/>
                                </a:lnTo>
                                <a:lnTo>
                                  <a:pt x="15624" y="1008"/>
                                </a:lnTo>
                                <a:lnTo>
                                  <a:pt x="19660" y="5044"/>
                                </a:lnTo>
                                <a:lnTo>
                                  <a:pt x="20669" y="7480"/>
                                </a:lnTo>
                                <a:lnTo>
                                  <a:pt x="20669" y="10334"/>
                                </a:lnTo>
                                <a:lnTo>
                                  <a:pt x="20669" y="13188"/>
                                </a:lnTo>
                                <a:lnTo>
                                  <a:pt x="19660" y="15624"/>
                                </a:lnTo>
                                <a:lnTo>
                                  <a:pt x="15624" y="19660"/>
                                </a:lnTo>
                                <a:lnTo>
                                  <a:pt x="13188" y="206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9090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.65pt;height:1.65pt;mso-position-horizontal-relative:char;mso-position-vertical-relative:line" id="docshapegroup13" coordorigin="0,0" coordsize="33,33">
                <v:shape style="position:absolute;left:0;top:0;width:33;height:33" id="docshape14" coordorigin="0,0" coordsize="33,33" path="m21,33l12,33,8,31,2,25,0,21,0,12,2,8,8,2,12,0,21,0,25,2,31,8,33,12,33,16,33,21,31,25,25,31,21,33xe" filled="true" fillcolor="#090909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position w:val="0"/>
          <w:sz w:val="3"/>
        </w:rPr>
      </w:r>
    </w:p>
    <w:p>
      <w:pPr>
        <w:pStyle w:val="BodyText"/>
        <w:spacing w:before="13"/>
        <w:ind w:left="6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1220533</wp:posOffset>
                </wp:positionH>
                <wp:positionV relativeFrom="paragraph">
                  <wp:posOffset>72691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6.104996pt;margin-top:5.723715pt;width:1.65pt;height:1.65pt;mso-position-horizontal-relative:page;mso-position-vertical-relative:paragraph;z-index:15732736" id="docshape15" coordorigin="1922,114" coordsize="33,33" path="m1943,147l1934,147,1930,145,1924,139,1922,135,1922,126,1924,122,1930,116,1934,114,1943,114,1947,116,1953,122,1955,126,1955,131,1955,135,1953,139,1947,145,1943,1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Beta</w:t>
      </w:r>
      <w:r>
        <w:rPr>
          <w:color w:val="6E6158"/>
          <w:spacing w:val="13"/>
        </w:rPr>
        <w:t> </w:t>
      </w:r>
      <w:r>
        <w:rPr>
          <w:color w:val="6E6158"/>
        </w:rPr>
        <w:t>Gamma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Sigma</w:t>
      </w:r>
    </w:p>
    <w:p>
      <w:pPr>
        <w:pStyle w:val="Heading1"/>
        <w:spacing w:before="22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6"/>
        <w:ind w:right="63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152559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254pt;width:1.65pt;height:1.65pt;mso-position-horizontal-relative:page;mso-position-vertical-relative:paragraph;z-index:15733248" id="docshape16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416091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3149pt;width:1.65pt;height:1.65pt;mso-position-horizontal-relative:page;mso-position-vertical-relative:paragraph;z-index:15733760" id="docshape17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Labor &amp; </w:t>
      </w:r>
      <w:r>
        <w:rPr>
          <w:color w:val="6E6158"/>
        </w:rPr>
        <w:t>Employment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64007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9923pt;width:1.65pt;height:1.65pt;mso-position-horizontal-relative:page;mso-position-vertical-relative:paragraph;z-index:15734272" id="docshape18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Food</w:t>
      </w:r>
      <w:r>
        <w:rPr>
          <w:color w:val="6E6158"/>
          <w:spacing w:val="7"/>
        </w:rPr>
        <w:t> </w:t>
      </w:r>
      <w:r>
        <w:rPr>
          <w:color w:val="6E6158"/>
        </w:rPr>
        <w:t>&amp;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Beverage</w:t>
      </w:r>
    </w:p>
    <w:p>
      <w:pPr>
        <w:pStyle w:val="BodyText"/>
        <w:spacing w:before="4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55"/>
        <w:ind w:right="6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251106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182pt;width:1.65pt;height:1.65pt;mso-position-horizontal-relative:page;mso-position-vertical-relative:paragraph;z-index:15734784" id="docshape19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2">
        <w:r>
          <w:rPr>
            <w:color w:val="F5821F"/>
          </w:rPr>
          <w:t>The ‘No Tax’ Overtime Myth: Employer Payroll and Reporting Obligations Under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the One Big Beautiful Bill Act Explained</w:t>
        </w:r>
      </w:hyperlink>
      <w:r>
        <w:rPr>
          <w:color w:val="6E6158"/>
        </w:rPr>
        <w:t>,” Fennemore Blog, February 16, 2026</w:t>
      </w:r>
    </w:p>
    <w:p>
      <w:pPr>
        <w:pStyle w:val="BodyText"/>
        <w:spacing w:line="292" w:lineRule="auto" w:before="123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230963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6111pt;width:1.65pt;height:1.65pt;mso-position-horizontal-relative:page;mso-position-vertical-relative:paragraph;z-index:15735296" id="docshape20" coordorigin="1670,364" coordsize="33,33" path="m1691,396l1682,396,1678,395,1671,388,1670,384,1670,376,1671,372,1678,365,1682,364,1691,364,1694,365,1701,372,1702,376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New Year, New Rules: Key California Employment Law Updates For 2026</w:t>
        </w:r>
      </w:hyperlink>
      <w:r>
        <w:rPr>
          <w:color w:val="6E6158"/>
        </w:rPr>
        <w:t>,” Fennemore Blog, December 31, 2025</w:t>
      </w:r>
    </w:p>
    <w:p>
      <w:pPr>
        <w:pStyle w:val="BodyText"/>
        <w:spacing w:line="292" w:lineRule="auto" w:before="132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236308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976pt;width:1.65pt;height:1.65pt;mso-position-horizontal-relative:page;mso-position-vertical-relative:paragraph;z-index:15735808" id="docshape2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4">
        <w:r>
          <w:rPr>
            <w:color w:val="F5821F"/>
          </w:rPr>
          <w:t>“Stay-or-Pay” No More: California’s New Limits on Training and </w:t>
        </w:r>
        <w:r>
          <w:rPr>
            <w:color w:val="F5821F"/>
          </w:rPr>
          <w:t>Retention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Agreement Payback</w:t>
        </w:r>
      </w:hyperlink>
      <w:r>
        <w:rPr>
          <w:color w:val="6E6158"/>
        </w:rPr>
        <w:t>,” Fennemore Blog, December 10, 2025</w:t>
      </w:r>
    </w:p>
    <w:p>
      <w:pPr>
        <w:pStyle w:val="BodyText"/>
        <w:spacing w:before="1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142927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4103pt;width:1.65pt;height:1.65pt;mso-position-horizontal-relative:page;mso-position-vertical-relative:paragraph;z-index:15736320" id="docshape22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5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Canadian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Produce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Trust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Law,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Eh</w:t>
        </w:r>
      </w:hyperlink>
      <w:r>
        <w:rPr>
          <w:color w:val="6E6158"/>
        </w:rPr>
        <w:t>?”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0"/>
        </w:rPr>
        <w:t> </w:t>
      </w:r>
      <w:r>
        <w:rPr>
          <w:color w:val="6E6158"/>
        </w:rPr>
        <w:t>Client</w:t>
      </w:r>
      <w:r>
        <w:rPr>
          <w:color w:val="6E6158"/>
          <w:spacing w:val="11"/>
        </w:rPr>
        <w:t> </w:t>
      </w:r>
      <w:r>
        <w:rPr>
          <w:color w:val="6E6158"/>
        </w:rPr>
        <w:t>Alert,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17,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2025.</w:t>
      </w:r>
    </w:p>
    <w:p>
      <w:pPr>
        <w:pStyle w:val="BodyText"/>
        <w:spacing w:line="302" w:lineRule="auto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268273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3896pt;width:1.65pt;height:1.65pt;mso-position-horizontal-relative:page;mso-position-vertical-relative:paragraph;z-index:15736832" id="docshape23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“Unionization in the Fast Lane: NLRB’s New Rule Accelerates Union </w:t>
      </w:r>
      <w:r>
        <w:rPr>
          <w:color w:val="6E6158"/>
        </w:rPr>
        <w:t>Formation,” California Lawyers Association, Business Law News, Spring 2024</w:t>
      </w:r>
    </w:p>
    <w:p>
      <w:pPr>
        <w:pStyle w:val="BodyText"/>
        <w:spacing w:line="292" w:lineRule="auto" w:before="113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224231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5994pt;width:1.65pt;height:1.65pt;mso-position-horizontal-relative:page;mso-position-vertical-relative:paragraph;z-index:15737344" id="docshape24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“Two New California Non-Compete Laws Take Aim at Employers in the Golden State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Beyond,”</w:t>
      </w:r>
      <w:r>
        <w:rPr>
          <w:color w:val="6E6158"/>
          <w:spacing w:val="37"/>
        </w:rPr>
        <w:t> </w:t>
      </w:r>
      <w:r>
        <w:rPr>
          <w:color w:val="6E6158"/>
        </w:rPr>
        <w:t>California</w:t>
      </w:r>
      <w:r>
        <w:rPr>
          <w:color w:val="6E6158"/>
          <w:spacing w:val="37"/>
        </w:rPr>
        <w:t> </w:t>
      </w:r>
      <w:r>
        <w:rPr>
          <w:color w:val="6E6158"/>
        </w:rPr>
        <w:t>Lawyers</w:t>
      </w:r>
      <w:r>
        <w:rPr>
          <w:color w:val="6E6158"/>
          <w:spacing w:val="37"/>
        </w:rPr>
        <w:t> </w:t>
      </w:r>
      <w:r>
        <w:rPr>
          <w:color w:val="6E6158"/>
        </w:rPr>
        <w:t>Association,</w:t>
      </w:r>
      <w:r>
        <w:rPr>
          <w:color w:val="6E6158"/>
          <w:spacing w:val="37"/>
        </w:rPr>
        <w:t> </w:t>
      </w:r>
      <w:r>
        <w:rPr>
          <w:color w:val="6E6158"/>
        </w:rPr>
        <w:t>Business</w:t>
      </w:r>
      <w:r>
        <w:rPr>
          <w:color w:val="6E6158"/>
          <w:spacing w:val="37"/>
        </w:rPr>
        <w:t> </w:t>
      </w:r>
      <w:r>
        <w:rPr>
          <w:color w:val="6E6158"/>
        </w:rPr>
        <w:t>Law</w:t>
      </w:r>
      <w:r>
        <w:rPr>
          <w:color w:val="6E6158"/>
          <w:spacing w:val="37"/>
        </w:rPr>
        <w:t> </w:t>
      </w:r>
      <w:r>
        <w:rPr>
          <w:color w:val="6E6158"/>
        </w:rPr>
        <w:t>News,</w:t>
      </w:r>
      <w:r>
        <w:rPr>
          <w:color w:val="6E6158"/>
          <w:spacing w:val="37"/>
        </w:rPr>
        <w:t> </w:t>
      </w:r>
      <w:r>
        <w:rPr>
          <w:color w:val="6E6158"/>
        </w:rPr>
        <w:t>Spring</w:t>
      </w:r>
      <w:r>
        <w:rPr>
          <w:color w:val="6E6158"/>
          <w:spacing w:val="37"/>
        </w:rPr>
        <w:t> </w:t>
      </w:r>
      <w:r>
        <w:rPr>
          <w:color w:val="6E6158"/>
        </w:rPr>
        <w:t>2024</w:t>
      </w:r>
    </w:p>
    <w:p>
      <w:pPr>
        <w:pStyle w:val="BodyText"/>
        <w:spacing w:line="302" w:lineRule="auto" w:before="123"/>
        <w:ind w:right="6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235925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6841pt;width:1.65pt;height:1.65pt;mso-position-horizontal-relative:page;mso-position-vertical-relative:paragraph;z-index:15737856" id="docshape25" coordorigin="1670,372" coordsize="33,33" path="m1691,404l1682,404,1678,402,1671,396,1670,392,1670,383,1671,379,1678,373,1682,372,1691,372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“To Arbitrate or Not to Arbitrate? That is the Question,” Western Growers Association Webinar, May 15, 2024</w:t>
      </w:r>
    </w:p>
    <w:p>
      <w:pPr>
        <w:pStyle w:val="BodyText"/>
        <w:spacing w:line="283" w:lineRule="auto" w:before="113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224269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9029pt;width:1.65pt;height:1.65pt;mso-position-horizontal-relative:page;mso-position-vertical-relative:paragraph;z-index:15738368" id="docshape26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5821F"/>
          </w:rPr>
          <w:t>Co-Author, “SCOTUS Subtly Redefines the Landscape of Workplace </w:t>
        </w:r>
        <w:r>
          <w:rPr>
            <w:color w:val="F5821F"/>
          </w:rPr>
          <w:t>Religious</w:t>
        </w:r>
      </w:hyperlink>
      <w:r>
        <w:rPr>
          <w:color w:val="F5821F"/>
        </w:rPr>
        <w:t> </w:t>
      </w:r>
      <w:hyperlink r:id="rId16">
        <w:r>
          <w:rPr>
            <w:color w:val="F5821F"/>
          </w:rPr>
          <w:t>Accommodations,”</w:t>
        </w:r>
      </w:hyperlink>
      <w:r>
        <w:rPr>
          <w:color w:val="F5821F"/>
        </w:rPr>
        <w:t> </w:t>
      </w:r>
      <w:hyperlink r:id="rId16">
        <w:r>
          <w:rPr>
            <w:i/>
            <w:color w:val="F5821F"/>
            <w:sz w:val="20"/>
          </w:rPr>
          <w:t>HR Daily Advisor</w:t>
        </w:r>
      </w:hyperlink>
      <w:hyperlink r:id="rId16">
        <w:r>
          <w:rPr>
            <w:color w:val="F5821F"/>
          </w:rPr>
          <w:t>, August 23, 2023</w:t>
        </w:r>
      </w:hyperlink>
    </w:p>
    <w:p>
      <w:pPr>
        <w:pStyle w:val="BodyText"/>
        <w:spacing w:line="292" w:lineRule="auto" w:before="136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238611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788340pt;width:1.65pt;height:1.65pt;mso-position-horizontal-relative:page;mso-position-vertical-relative:paragraph;z-index:15738880" id="docshape27" coordorigin="1670,376" coordsize="33,33" path="m1691,408l1682,408,1678,407,1671,400,1670,397,1670,388,1671,384,1678,377,1682,376,1691,376,1694,377,1701,384,1702,388,1702,392,1702,397,1701,400,1694,407,1691,4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“Pay Transparency Backlash: the Harm of Reluctant Compliance,” </w:t>
      </w:r>
      <w:r>
        <w:rPr>
          <w:color w:val="6E6158"/>
        </w:rPr>
        <w:t>BioSpace, February 27, 2023</w:t>
      </w:r>
    </w:p>
    <w:p>
      <w:pPr>
        <w:pStyle w:val="BodyText"/>
        <w:spacing w:line="292" w:lineRule="auto" w:before="123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230533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52250pt;width:1.65pt;height:1.65pt;mso-position-horizontal-relative:page;mso-position-vertical-relative:paragraph;z-index:15739392" id="docshape28" coordorigin="1670,363" coordsize="33,33" path="m1691,396l1682,396,1678,394,1671,388,1670,384,1670,375,1671,371,1678,365,1682,363,1691,363,1694,365,1701,371,1702,375,1702,379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“How Small Firms Can Trim The Burden Of Administrative Work,” Law360, November</w:t>
      </w:r>
      <w:r>
        <w:rPr>
          <w:color w:val="6E6158"/>
          <w:spacing w:val="40"/>
        </w:rPr>
        <w:t> </w:t>
      </w:r>
      <w:r>
        <w:rPr>
          <w:color w:val="6E6158"/>
        </w:rPr>
        <w:t>23, 2022</w:t>
      </w:r>
    </w:p>
    <w:p>
      <w:pPr>
        <w:pStyle w:val="BodyText"/>
        <w:spacing w:line="292" w:lineRule="auto" w:before="131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235878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105pt;width:1.65pt;height:1.65pt;mso-position-horizontal-relative:page;mso-position-vertical-relative:paragraph;z-index:15739904" id="docshape2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5821F"/>
          </w:rPr>
          <w:t>Interview, “Don’t Be Afraid To Say ‘YES’ To Opportunities That Are Outside Of Your Comfort</w:t>
        </w:r>
      </w:hyperlink>
      <w:r>
        <w:rPr>
          <w:color w:val="F5821F"/>
        </w:rPr>
        <w:t> </w:t>
      </w:r>
      <w:hyperlink r:id="rId17">
        <w:r>
          <w:rPr>
            <w:color w:val="F5821F"/>
          </w:rPr>
          <w:t>Zone,” Fennemore Blog, October 21, 2022</w:t>
        </w:r>
      </w:hyperlink>
    </w:p>
    <w:p>
      <w:pPr>
        <w:pStyle w:val="Heading1"/>
        <w:spacing w:before="285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0" w:lineRule="auto" w:before="146"/>
        <w:ind w:right="56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157684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6115pt;width:1.65pt;height:1.65pt;mso-position-horizontal-relative:page;mso-position-vertical-relative:paragraph;z-index:15740416" id="docshape3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416050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9857pt;width:1.65pt;height:1.65pt;mso-position-horizontal-relative:page;mso-position-vertical-relative:paragraph;z-index:15740928" id="docshape31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State Bar of California Member, State Bar of </w:t>
      </w:r>
      <w:r>
        <w:rPr>
          <w:color w:val="6E6158"/>
        </w:rPr>
        <w:t>Washington</w:t>
      </w:r>
    </w:p>
    <w:p>
      <w:pPr>
        <w:pStyle w:val="BodyText"/>
        <w:spacing w:before="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63965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6657pt;width:1.65pt;height:1.65pt;mso-position-horizontal-relative:page;mso-position-vertical-relative:paragraph;z-index:15741440" id="docshape32" coordorigin="1670,101" coordsize="33,33" path="m1691,133l1682,133,1678,132,1671,125,1670,122,1670,113,1671,109,1678,102,1682,101,1691,101,1694,102,1701,109,1702,113,1702,117,1702,122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4"/>
        </w:rPr>
        <w:t> </w:t>
      </w:r>
      <w:r>
        <w:rPr>
          <w:color w:val="6E6158"/>
        </w:rPr>
        <w:t>Chair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Agribusiness</w:t>
      </w:r>
      <w:r>
        <w:rPr>
          <w:color w:val="6E6158"/>
          <w:spacing w:val="14"/>
        </w:rPr>
        <w:t> </w:t>
      </w:r>
      <w:r>
        <w:rPr>
          <w:color w:val="6E6158"/>
        </w:rPr>
        <w:t>Committee,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Section,</w:t>
      </w:r>
      <w:r>
        <w:rPr>
          <w:color w:val="6E6158"/>
          <w:spacing w:val="14"/>
        </w:rPr>
        <w:t> </w:t>
      </w:r>
      <w:r>
        <w:rPr>
          <w:color w:val="6E6158"/>
        </w:rPr>
        <w:t>California</w:t>
      </w:r>
      <w:r>
        <w:rPr>
          <w:color w:val="6E6158"/>
          <w:spacing w:val="14"/>
        </w:rPr>
        <w:t> </w:t>
      </w:r>
      <w:r>
        <w:rPr>
          <w:color w:val="6E6158"/>
        </w:rPr>
        <w:t>Lawyers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292" w:lineRule="auto"/>
        <w:ind w:right="6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262971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644pt;width:1.65pt;height:1.65pt;mso-position-horizontal-relative:page;mso-position-vertical-relative:paragraph;z-index:15741952" id="docshape33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 Vice-Chair of Programs of the Agribusiness Committee, Business Law Section, </w:t>
      </w:r>
      <w:r>
        <w:rPr>
          <w:color w:val="6E6158"/>
        </w:rPr>
        <w:t>California</w:t>
      </w:r>
      <w:r>
        <w:rPr>
          <w:color w:val="6E6158"/>
          <w:spacing w:val="40"/>
        </w:rPr>
        <w:t> </w:t>
      </w:r>
      <w:r>
        <w:rPr>
          <w:color w:val="6E6158"/>
        </w:rPr>
        <w:t>Lawyers Association</w:t>
      </w:r>
    </w:p>
    <w:p>
      <w:pPr>
        <w:pStyle w:val="Heading1"/>
        <w:spacing w:before="293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right="74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152391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9933pt;width:1.65pt;height:1.65pt;mso-position-horizontal-relative:page;mso-position-vertical-relative:paragraph;z-index:15742464" id="docshape34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415924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49969pt;width:1.65pt;height:1.65pt;mso-position-horizontal-relative:page;mso-position-vertical-relative:paragraph;z-index:15742976" id="docshape35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 Washington</w:t>
      </w:r>
    </w:p>
    <w:p>
      <w:pPr>
        <w:pStyle w:val="BodyText"/>
        <w:spacing w:line="231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63839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6744pt;width:1.65pt;height:1.65pt;mso-position-horizontal-relative:page;mso-position-vertical-relative:paragraph;z-index:15743488" id="docshape36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after="0" w:line="231" w:lineRule="exact"/>
        <w:sectPr>
          <w:pgSz w:w="12240" w:h="15840"/>
          <w:pgMar w:top="500" w:bottom="280" w:left="1440" w:right="1080"/>
        </w:sectPr>
      </w:pPr>
    </w:p>
    <w:p>
      <w:pPr>
        <w:pStyle w:val="BodyText"/>
        <w:spacing w:before="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44000" id="docshape37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175336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6053pt;width:1.65pt;height:1.65pt;mso-position-horizontal-relative:page;mso-position-vertical-relative:paragraph;z-index:15744512" id="docshape38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175286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2101pt;width:1.65pt;height:1.65pt;mso-position-horizontal-relative:page;mso-position-vertical-relative:paragraph;z-index:15745024" id="docshape39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Southern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170156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398147pt;width:1.65pt;height:1.65pt;mso-position-horizontal-relative:page;mso-position-vertical-relative:paragraph;z-index:15745536" id="docshape40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Western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Washington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175273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1042pt;width:1.65pt;height:1.65pt;mso-position-horizontal-relative:page;mso-position-vertical-relative:paragraph;z-index:15746048" id="docshape41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Washington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35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employment-and-labor-relations/" TargetMode="External"/><Relationship Id="rId9" Type="http://schemas.openxmlformats.org/officeDocument/2006/relationships/hyperlink" Target="https://www.fennemorelaw.com/contact-us/orange-county/" TargetMode="External"/><Relationship Id="rId10" Type="http://schemas.openxmlformats.org/officeDocument/2006/relationships/hyperlink" Target="https://www.fennemorelaw.com/contact-us/seattle/" TargetMode="External"/><Relationship Id="rId11" Type="http://schemas.openxmlformats.org/officeDocument/2006/relationships/hyperlink" Target="mailto:eobrien@fennemorelaw.com" TargetMode="External"/><Relationship Id="rId12" Type="http://schemas.openxmlformats.org/officeDocument/2006/relationships/hyperlink" Target="https://www.fennemorelaw.com/the-no-tax-overtime-myth-employer-payroll-and-reporting-obligations-under-the-one-big-beautiful-bill-act-explained/" TargetMode="External"/><Relationship Id="rId13" Type="http://schemas.openxmlformats.org/officeDocument/2006/relationships/hyperlink" Target="https://www.fennemorelaw.com/new-year-new-rules-key-california-employment-law-updates-for-2026/" TargetMode="External"/><Relationship Id="rId14" Type="http://schemas.openxmlformats.org/officeDocument/2006/relationships/hyperlink" Target="https://www.fennemorelaw.com/stay-or-pay-no-more-californias-new-limits-on-training-and-retention-agreement-payback/" TargetMode="External"/><Relationship Id="rId15" Type="http://schemas.openxmlformats.org/officeDocument/2006/relationships/hyperlink" Target="https://mailchi.mp/fennemorelaw/fennmore-general-elections-federal-and-state-update-dont-let-it-surprise-you-15829195?e=c7a081f66a" TargetMode="External"/><Relationship Id="rId16" Type="http://schemas.openxmlformats.org/officeDocument/2006/relationships/hyperlink" Target="https://hrdailyadvisor.blr.com/2023/08/23/scotus-subtly-redefines-the-landscape-of-workplace-religious-accommodations/" TargetMode="External"/><Relationship Id="rId17" Type="http://schemas.openxmlformats.org/officeDocument/2006/relationships/hyperlink" Target="https://www.fennemorelaw.com/dont-be-afraid-to-say-yes-to-opportunities-that-are-outside-of-your-comfort-zone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Elise O'Brien - Fennemore</dc:title>
  <dcterms:created xsi:type="dcterms:W3CDTF">2026-02-16T23:10:08Z</dcterms:created>
  <dcterms:modified xsi:type="dcterms:W3CDTF">2026-02-16T23:10:08Z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2026-02-16T00:00:00Z</vt:filetime>
  </property>
  <property fmtid="{D5CDD505-2E9C-101B-9397-08002B2CF9AE}" pid="5" name="Producer">
    <vt:lpwstr>Skia/PDF m142</vt:lpwstr>
  </property>
</Properties>
</file>