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Carr bio NEW20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91" w:right="69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692" w:right="69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692" w:right="69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Carr bio NEW2025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91" w:right="69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692" w:right="69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692" w:right="69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KATHLEEN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4"/>
          <w:sz w:val="24"/>
        </w:rPr>
        <w:t>CARR</w:t>
      </w:r>
    </w:p>
    <w:p>
      <w:pPr>
        <w:pStyle w:val="BodyText"/>
        <w:spacing w:before="147"/>
        <w:ind w:left="99"/>
      </w:pPr>
      <w:r>
        <w:rPr>
          <w:color w:val="6E6158"/>
        </w:rPr>
        <w:t>Kathleen</w:t>
      </w:r>
      <w:r>
        <w:rPr>
          <w:color w:val="6E6158"/>
          <w:spacing w:val="13"/>
        </w:rPr>
        <w:t> </w:t>
      </w:r>
      <w:r>
        <w:rPr>
          <w:color w:val="6E6158"/>
        </w:rPr>
        <w:t>Carr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highly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Fennemore’s</w:t>
      </w:r>
      <w:r>
        <w:rPr>
          <w:color w:val="6E6158"/>
          <w:spacing w:val="13"/>
        </w:rPr>
        <w:t> </w:t>
      </w:r>
      <w:hyperlink r:id="rId8">
        <w:r>
          <w:rPr>
            <w:color w:val="F5821F"/>
          </w:rPr>
          <w:t>Natural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Resources</w:t>
        </w:r>
      </w:hyperlink>
      <w:r>
        <w:rPr>
          <w:color w:val="F5821F"/>
          <w:spacing w:val="14"/>
        </w:rPr>
        <w:t> </w:t>
      </w:r>
      <w:r>
        <w:rPr>
          <w:color w:val="6E6158"/>
          <w:spacing w:val="-2"/>
        </w:rPr>
        <w:t>practice</w:t>
      </w:r>
    </w:p>
    <w:p>
      <w:pPr>
        <w:pStyle w:val="BodyText"/>
        <w:spacing w:line="295" w:lineRule="auto" w:before="60"/>
        <w:ind w:left="99" w:right="514"/>
      </w:pPr>
      <w:r>
        <w:rPr>
          <w:color w:val="6E6158"/>
        </w:rPr>
        <w:t>group, where she advises clients on litigation and regulatory matters across the environmental,</w:t>
      </w:r>
      <w:r>
        <w:rPr>
          <w:color w:val="6E6158"/>
          <w:spacing w:val="40"/>
        </w:rPr>
        <w:t> </w:t>
      </w:r>
      <w:r>
        <w:rPr>
          <w:color w:val="6E6158"/>
        </w:rPr>
        <w:t>energy, and natural resources sectors. Her practice focuses on the environmental review and</w:t>
      </w:r>
      <w:r>
        <w:rPr>
          <w:color w:val="6E6158"/>
          <w:spacing w:val="40"/>
        </w:rPr>
        <w:t> </w:t>
      </w:r>
      <w:r>
        <w:rPr>
          <w:color w:val="6E6158"/>
        </w:rPr>
        <w:t>permitting of major federal infrastructure and development projects—spanning water, energy,</w:t>
      </w:r>
      <w:r>
        <w:rPr>
          <w:color w:val="6E6158"/>
          <w:spacing w:val="40"/>
        </w:rPr>
        <w:t> </w:t>
      </w:r>
      <w:r>
        <w:rPr>
          <w:color w:val="6E6158"/>
        </w:rPr>
        <w:t>nuclear, and renewable energy systems—with a particular emphasis on geothermal energy.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regularly counsels clients on all aspects of geothermal project development, including federal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leasing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permitting,</w:t>
      </w:r>
      <w:r>
        <w:rPr>
          <w:color w:val="6E6158"/>
          <w:spacing w:val="40"/>
        </w:rPr>
        <w:t> </w:t>
      </w:r>
      <w:r>
        <w:rPr>
          <w:color w:val="6E6158"/>
        </w:rPr>
        <w:t>Enhanced</w:t>
      </w:r>
      <w:r>
        <w:rPr>
          <w:color w:val="6E6158"/>
          <w:spacing w:val="40"/>
        </w:rPr>
        <w:t> </w:t>
      </w:r>
      <w:r>
        <w:rPr>
          <w:color w:val="6E6158"/>
        </w:rPr>
        <w:t>Geothermal</w:t>
      </w:r>
      <w:r>
        <w:rPr>
          <w:color w:val="6E6158"/>
          <w:spacing w:val="40"/>
        </w:rPr>
        <w:t> </w:t>
      </w:r>
      <w:r>
        <w:rPr>
          <w:color w:val="6E6158"/>
        </w:rPr>
        <w:t>Systems</w:t>
      </w:r>
      <w:r>
        <w:rPr>
          <w:color w:val="6E6158"/>
          <w:spacing w:val="40"/>
        </w:rPr>
        <w:t> </w:t>
      </w:r>
      <w:r>
        <w:rPr>
          <w:color w:val="6E6158"/>
        </w:rPr>
        <w:t>(EGS),</w:t>
      </w:r>
      <w:r>
        <w:rPr>
          <w:color w:val="6E6158"/>
          <w:spacing w:val="40"/>
        </w:rPr>
        <w:t> </w:t>
      </w:r>
      <w:r>
        <w:rPr>
          <w:color w:val="6E6158"/>
        </w:rPr>
        <w:t>direct-use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applications,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coordination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line="302" w:lineRule="auto" w:before="52"/>
        <w:ind w:left="99"/>
      </w:pPr>
      <w:r>
        <w:rPr>
          <w:color w:val="6E6158"/>
        </w:rPr>
        <w:t>authorities. Her work in this field reflects a deep understanding of both the technical and legal</w:t>
      </w:r>
      <w:r>
        <w:rPr>
          <w:color w:val="6E6158"/>
          <w:spacing w:val="40"/>
        </w:rPr>
        <w:t> </w:t>
      </w:r>
      <w:r>
        <w:rPr>
          <w:color w:val="6E6158"/>
        </w:rPr>
        <w:t>dimensions of geothermal resource development on public and private lands.</w:t>
      </w:r>
    </w:p>
    <w:p>
      <w:pPr>
        <w:pStyle w:val="BodyText"/>
        <w:spacing w:before="186"/>
        <w:ind w:left="99"/>
      </w:pP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now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matters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these</w:t>
      </w:r>
      <w:r>
        <w:rPr>
          <w:color w:val="6E6158"/>
          <w:spacing w:val="11"/>
        </w:rPr>
        <w:t> </w:t>
      </w:r>
      <w:r>
        <w:rPr>
          <w:color w:val="6E6158"/>
        </w:rPr>
        <w:t>project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  <w:ind w:left="0"/>
      </w:pPr>
    </w:p>
    <w:p>
      <w:pPr>
        <w:pStyle w:val="BodyText"/>
        <w:spacing w:line="420" w:lineRule="auto"/>
        <w:ind w:right="5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64750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8435pt;width:1.65pt;height:1.65pt;mso-position-horizontal-relative:page;mso-position-vertical-relative:paragraph;z-index:15729152" id="docshape7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323115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2179pt;width:1.65pt;height:1.65pt;mso-position-horizontal-relative:page;mso-position-vertical-relative:paragraph;z-index:15729664" id="docshape8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Hydropower licensing and Dam </w:t>
      </w:r>
      <w:r>
        <w:rPr>
          <w:color w:val="6E6158"/>
        </w:rPr>
        <w:t>Safety Storage project siting</w:t>
      </w:r>
    </w:p>
    <w:p>
      <w:pPr>
        <w:pStyle w:val="BodyText"/>
        <w:spacing w:line="420" w:lineRule="auto" w:before="7"/>
        <w:ind w:right="38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63741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8978pt;width:1.65pt;height:1.65pt;mso-position-horizontal-relative:page;mso-position-vertical-relative:paragraph;z-index:15730176" id="docshape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327273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9592pt;width:1.65pt;height:1.65pt;mso-position-horizontal-relative:page;mso-position-vertical-relative:paragraph;z-index:15730688" id="docshape10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FERC licensing and Leases of Power Privileges </w:t>
      </w:r>
      <w:r>
        <w:rPr>
          <w:color w:val="6E6158"/>
        </w:rPr>
        <w:t>(LOPP) Federal corridor and transmission line planning.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63453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6368pt;width:1.65pt;height:1.65pt;mso-position-horizontal-relative:page;mso-position-vertical-relative:paragraph;z-index:15731200" id="docshape11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Renewable</w:t>
      </w:r>
      <w:r>
        <w:rPr>
          <w:color w:val="6E6158"/>
          <w:spacing w:val="17"/>
        </w:rPr>
        <w:t> </w:t>
      </w:r>
      <w:r>
        <w:rPr>
          <w:color w:val="6E6158"/>
        </w:rPr>
        <w:t>energy</w:t>
      </w:r>
      <w:r>
        <w:rPr>
          <w:color w:val="6E6158"/>
          <w:spacing w:val="18"/>
        </w:rPr>
        <w:t> </w:t>
      </w:r>
      <w:r>
        <w:rPr>
          <w:color w:val="6E6158"/>
        </w:rPr>
        <w:t>(solar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wind)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including</w:t>
      </w:r>
      <w:r>
        <w:rPr>
          <w:color w:val="6E6158"/>
          <w:spacing w:val="18"/>
        </w:rPr>
        <w:t> </w:t>
      </w:r>
      <w:r>
        <w:rPr>
          <w:color w:val="6E6158"/>
        </w:rPr>
        <w:t>interconnection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292" w:lineRule="auto" w:before="182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267914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627pt;width:1.65pt;height:1.65pt;mso-position-horizontal-relative:page;mso-position-vertical-relative:paragraph;z-index:15731712" id="docshape12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Geothermal leasing and permitting, including Enhanced Geothermal Systems (EGS)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direct-use geothermal projects, on both BLM-managed and private lands.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142782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713pt;width:1.65pt;height:1.65pt;mso-position-horizontal-relative:page;mso-position-vertical-relative:paragraph;z-index:15732224" id="docshape1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application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supplies.</w:t>
      </w:r>
    </w:p>
    <w:p>
      <w:pPr>
        <w:pStyle w:val="BodyText"/>
        <w:spacing w:line="427" w:lineRule="auto" w:before="174"/>
        <w:ind w:right="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175117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752pt;width:1.65pt;height:1.65pt;mso-position-horizontal-relative:page;mso-position-vertical-relative:paragraph;z-index:15732736" id="docshape1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433482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2519pt;width:1.65pt;height:1.65pt;mso-position-horizontal-relative:page;mso-position-vertical-relative:paragraph;z-index:15733248" id="docshape15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 and mineral leasing, including critical minerals projects involving strategic </w:t>
      </w:r>
      <w:r>
        <w:rPr>
          <w:color w:val="6E6158"/>
        </w:rPr>
        <w:t>materials.</w:t>
      </w:r>
      <w:r>
        <w:rPr>
          <w:color w:val="6E6158"/>
          <w:spacing w:val="40"/>
        </w:rPr>
        <w:t> </w:t>
      </w:r>
      <w:r>
        <w:rPr>
          <w:color w:val="6E6158"/>
        </w:rPr>
        <w:t>Recreational use authorizations.</w:t>
      </w:r>
    </w:p>
    <w:p>
      <w:pPr>
        <w:pStyle w:val="BodyText"/>
        <w:spacing w:line="292" w:lineRule="auto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147754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4175pt;width:1.65pt;height:1.65pt;mso-position-horizontal-relative:page;mso-position-vertical-relative:paragraph;z-index:15733760" id="docshape16" coordorigin="1670,233" coordsize="33,33" path="m1691,265l1682,265,1678,264,1671,257,1670,253,1670,244,1671,241,1678,234,1682,233,1691,233,1694,234,1701,241,1702,244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Access agreements, easements, exchanges, and other realty matters under federal </w:t>
      </w:r>
      <w:r>
        <w:rPr>
          <w:color w:val="6E6158"/>
        </w:rPr>
        <w:t>law, including federal rights-of-way.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138192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81286pt;width:1.65pt;height:1.65pt;mso-position-horizontal-relative:page;mso-position-vertical-relative:paragraph;z-index:15734272" id="docshape17" coordorigin="1670,218" coordsize="33,33" path="m1691,250l1682,250,1678,249,1671,242,1670,238,1670,229,1671,226,1678,219,1682,218,1691,218,1694,219,1701,226,1702,229,1702,234,1702,238,1701,242,1694,249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procurement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processes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174972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371pt;width:1.65pt;height:1.65pt;mso-position-horizontal-relative:page;mso-position-vertical-relative:paragraph;z-index:15734784" id="docshape18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biological</w:t>
      </w:r>
      <w:r>
        <w:rPr>
          <w:color w:val="6E6158"/>
          <w:spacing w:val="14"/>
        </w:rPr>
        <w:t> </w:t>
      </w:r>
      <w:r>
        <w:rPr>
          <w:color w:val="6E6158"/>
        </w:rPr>
        <w:t>or</w:t>
      </w:r>
      <w:r>
        <w:rPr>
          <w:color w:val="6E6158"/>
          <w:spacing w:val="15"/>
        </w:rPr>
        <w:t> </w:t>
      </w:r>
      <w:r>
        <w:rPr>
          <w:color w:val="6E6158"/>
        </w:rPr>
        <w:t>habitat</w:t>
      </w:r>
      <w:r>
        <w:rPr>
          <w:color w:val="6E6158"/>
          <w:spacing w:val="14"/>
        </w:rPr>
        <w:t> </w:t>
      </w:r>
      <w:r>
        <w:rPr>
          <w:color w:val="6E6158"/>
        </w:rPr>
        <w:t>consultations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species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5296" id="docshape1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Power</w:t>
      </w:r>
      <w:r>
        <w:rPr>
          <w:color w:val="6E6158"/>
          <w:spacing w:val="14"/>
        </w:rPr>
        <w:t> </w:t>
      </w:r>
      <w:r>
        <w:rPr>
          <w:color w:val="6E6158"/>
        </w:rPr>
        <w:t>marketing,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5"/>
        </w:rPr>
        <w:t> </w:t>
      </w:r>
      <w:r>
        <w:rPr>
          <w:color w:val="6E6158"/>
        </w:rPr>
        <w:t>purchases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wheeling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  <w:ind w:left="99"/>
      </w:pPr>
      <w:r>
        <w:rPr>
          <w:color w:val="6E6158"/>
        </w:rPr>
        <w:t>Kathleen</w:t>
      </w:r>
      <w:r>
        <w:rPr>
          <w:color w:val="6E6158"/>
          <w:spacing w:val="11"/>
        </w:rPr>
        <w:t> </w:t>
      </w:r>
      <w:r>
        <w:rPr>
          <w:color w:val="6E6158"/>
        </w:rPr>
        <w:t>guides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these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statutes: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240297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921057pt;width:1.65pt;height:1.65pt;mso-position-horizontal-relative:page;mso-position-vertical-relative:paragraph;z-index:15735808" id="docshape20" coordorigin="1670,378" coordsize="33,33" path="m1691,411l1682,411,1678,409,1671,403,1670,399,1670,390,1671,386,1678,380,1682,378,1691,378,1694,380,1701,386,1702,390,1702,395,1702,399,1701,403,1694,409,1691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Implementation of the One Big Beautiful Bill Act (OBBBA), including strategic positioning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access to new federal leasing authorities, DOE infrastructure loan guarantees, and critical</w:t>
      </w:r>
      <w:r>
        <w:rPr>
          <w:color w:val="6E6158"/>
          <w:spacing w:val="40"/>
        </w:rPr>
        <w:t> </w:t>
      </w:r>
      <w:r>
        <w:rPr>
          <w:color w:val="6E6158"/>
        </w:rPr>
        <w:t>minerals funding programs.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143277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728pt;width:1.65pt;height:1.65pt;mso-position-horizontal-relative:page;mso-position-vertical-relative:paragraph;z-index:15736320" id="docshape2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(NEPA)</w:t>
      </w:r>
    </w:p>
    <w:p>
      <w:pPr>
        <w:pStyle w:val="BodyText"/>
        <w:spacing w:line="420" w:lineRule="auto" w:before="182"/>
        <w:ind w:right="3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174977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771pt;width:1.65pt;height:1.65pt;mso-position-horizontal-relative:page;mso-position-vertical-relative:paragraph;z-index:15736832" id="docshape2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433343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521pt;width:1.65pt;height:1.65pt;mso-position-horizontal-relative:page;mso-position-vertical-relative:paragraph;z-index:15737344" id="docshape2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National Historic Preservation Act and related </w:t>
      </w:r>
      <w:r>
        <w:rPr>
          <w:color w:val="6E6158"/>
        </w:rPr>
        <w:t>authorities Tribal Consultations under Federal Treaties</w:t>
      </w:r>
    </w:p>
    <w:p>
      <w:pPr>
        <w:pStyle w:val="BodyText"/>
        <w:spacing w:line="420" w:lineRule="auto"/>
        <w:ind w:right="3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63565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178pt;width:1.65pt;height:1.65pt;mso-position-horizontal-relative:page;mso-position-vertical-relative:paragraph;z-index:15737856" id="docshape2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321931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8927pt;width:1.65pt;height:1.65pt;mso-position-horizontal-relative:page;mso-position-vertical-relative:paragraph;z-index:15738368" id="docshape25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Endangered Species Act (ESA) and wildlife protection </w:t>
      </w:r>
      <w:r>
        <w:rPr>
          <w:color w:val="6E6158"/>
        </w:rPr>
        <w:t>laws The Federal Land Policy and Management Act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62556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709pt;width:1.65pt;height:1.65pt;mso-position-horizontal-relative:page;mso-position-vertical-relative:paragraph;z-index:15738880" id="docshape26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National</w:t>
      </w:r>
      <w:r>
        <w:rPr>
          <w:color w:val="6E6158"/>
          <w:spacing w:val="15"/>
        </w:rPr>
        <w:t> </w:t>
      </w:r>
      <w:r>
        <w:rPr>
          <w:color w:val="6E6158"/>
        </w:rPr>
        <w:t>Forest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4"/>
        <w:ind w:right="38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174988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597pt;width:1.65pt;height:1.65pt;mso-position-horizontal-relative:page;mso-position-vertical-relative:paragraph;z-index:15739392" id="docshape2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433353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349pt;width:1.65pt;height:1.65pt;mso-position-horizontal-relative:page;mso-position-vertical-relative:paragraph;z-index:15739904" id="docshape2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Reclamation Act of 1902 and related </w:t>
      </w:r>
      <w:r>
        <w:rPr>
          <w:color w:val="6E6158"/>
        </w:rPr>
        <w:t>amendments Freedom of Information Act (FOIA)</w:t>
      </w:r>
    </w:p>
    <w:p>
      <w:pPr>
        <w:pStyle w:val="BodyText"/>
        <w:spacing w:line="295" w:lineRule="auto" w:before="71"/>
        <w:ind w:left="99" w:right="514"/>
      </w:pPr>
      <w:r>
        <w:rPr>
          <w:color w:val="6E6158"/>
        </w:rPr>
        <w:t>In her work as the Field Solicitor for the U.S. Department of the Interior she oversaw the legal work</w:t>
      </w:r>
      <w:r>
        <w:rPr>
          <w:color w:val="6E6158"/>
          <w:spacing w:val="40"/>
        </w:rPr>
        <w:t> </w:t>
      </w:r>
      <w:r>
        <w:rPr>
          <w:color w:val="6E6158"/>
        </w:rPr>
        <w:t>for four Interior Department agencies: the Bureau of Reclamation’s Columbia Pacific Northwest</w:t>
      </w:r>
      <w:r>
        <w:rPr>
          <w:color w:val="6E6158"/>
          <w:spacing w:val="40"/>
        </w:rPr>
        <w:t> </w:t>
      </w:r>
      <w:r>
        <w:rPr>
          <w:color w:val="6E6158"/>
        </w:rPr>
        <w:t>Region (CPNR), the Bureau of Land Management Idaho (BLM), the National Interagency Fire</w:t>
      </w:r>
      <w:r>
        <w:rPr>
          <w:color w:val="6E6158"/>
          <w:spacing w:val="40"/>
        </w:rPr>
        <w:t> </w:t>
      </w:r>
      <w:r>
        <w:rPr>
          <w:color w:val="6E6158"/>
        </w:rPr>
        <w:t>Center (NIFC) and U.S. Geological Survey’s Water Center (water issues). Kathleen supervised ten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paralegals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Department’s</w:t>
      </w:r>
      <w:r>
        <w:rPr>
          <w:color w:val="6E6158"/>
          <w:spacing w:val="28"/>
        </w:rPr>
        <w:t> </w:t>
      </w:r>
      <w:r>
        <w:rPr>
          <w:color w:val="6E6158"/>
        </w:rPr>
        <w:t>development,</w:t>
      </w:r>
      <w:r>
        <w:rPr>
          <w:color w:val="6E6158"/>
          <w:spacing w:val="28"/>
        </w:rPr>
        <w:t> </w:t>
      </w:r>
      <w:r>
        <w:rPr>
          <w:color w:val="6E6158"/>
        </w:rPr>
        <w:t>protection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use of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lands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waters.</w:t>
      </w:r>
      <w:r>
        <w:rPr>
          <w:color w:val="6E6158"/>
          <w:spacing w:val="31"/>
        </w:rPr>
        <w:t> </w:t>
      </w:r>
      <w:r>
        <w:rPr>
          <w:color w:val="6E6158"/>
        </w:rPr>
        <w:t>This</w:t>
      </w:r>
      <w:r>
        <w:rPr>
          <w:color w:val="6E6158"/>
          <w:spacing w:val="31"/>
        </w:rPr>
        <w:t> </w:t>
      </w:r>
      <w:r>
        <w:rPr>
          <w:color w:val="6E6158"/>
        </w:rPr>
        <w:t>included</w:t>
      </w:r>
      <w:r>
        <w:rPr>
          <w:color w:val="6E6158"/>
          <w:spacing w:val="31"/>
        </w:rPr>
        <w:t> </w:t>
      </w:r>
      <w:r>
        <w:rPr>
          <w:color w:val="6E6158"/>
        </w:rPr>
        <w:t>counseling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surface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management for 12 million acres of federal lands, and 37 million acres of federal mining and mineral interests.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included</w:t>
      </w:r>
      <w:r>
        <w:rPr>
          <w:color w:val="6E6158"/>
          <w:spacing w:val="17"/>
        </w:rPr>
        <w:t> </w:t>
      </w:r>
      <w:r>
        <w:rPr>
          <w:color w:val="6E6158"/>
        </w:rPr>
        <w:t>advising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hydro-electric</w:t>
      </w:r>
      <w:r>
        <w:rPr>
          <w:color w:val="6E6158"/>
          <w:spacing w:val="17"/>
        </w:rPr>
        <w:t> </w:t>
      </w:r>
      <w:r>
        <w:rPr>
          <w:color w:val="6E6158"/>
        </w:rPr>
        <w:t>operations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$3.1</w:t>
      </w:r>
      <w:r>
        <w:rPr>
          <w:color w:val="6E6158"/>
          <w:spacing w:val="17"/>
        </w:rPr>
        <w:t> </w:t>
      </w:r>
      <w:r>
        <w:rPr>
          <w:color w:val="6E6158"/>
        </w:rPr>
        <w:t>billion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11"/>
        <w:ind w:left="99" w:right="1010"/>
      </w:pPr>
      <w:r>
        <w:rPr>
          <w:color w:val="6E6158"/>
        </w:rPr>
        <w:t>U.S. Bureau of Reclamation contracts to deliver 18 million acre feet of water and 7,000 Megawatts of power and wheeling deliveries in the Pacific Northwest Region, primarily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Columbia and Snake River Basins.</w:t>
      </w:r>
    </w:p>
    <w:p>
      <w:pPr>
        <w:pStyle w:val="BodyText"/>
        <w:spacing w:line="302" w:lineRule="auto" w:before="197"/>
        <w:ind w:left="99" w:right="740"/>
      </w:pPr>
      <w:r>
        <w:rPr>
          <w:color w:val="6E6158"/>
        </w:rPr>
        <w:t>Prior to becoming the Field Solicitor, Kathleen worked as an attorney-advisor in Boise and Washington,</w:t>
      </w:r>
      <w:r>
        <w:rPr>
          <w:color w:val="6E6158"/>
          <w:spacing w:val="13"/>
        </w:rPr>
        <w:t> </w:t>
      </w:r>
      <w:r>
        <w:rPr>
          <w:color w:val="6E6158"/>
        </w:rPr>
        <w:t>D.C.</w:t>
      </w:r>
      <w:r>
        <w:rPr>
          <w:color w:val="6E6158"/>
          <w:spacing w:val="13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counseled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Bureau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Reclamation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broad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left="99" w:right="740"/>
      </w:pPr>
      <w:r>
        <w:rPr>
          <w:color w:val="6E6158"/>
        </w:rPr>
        <w:t>legal matters involving federal and tribal water rights and adjudications, environmental, </w:t>
      </w:r>
      <w:r>
        <w:rPr>
          <w:color w:val="6E6158"/>
        </w:rPr>
        <w:t>cultural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conservation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property,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procurement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</w:p>
    <w:p>
      <w:pPr>
        <w:pStyle w:val="BodyText"/>
        <w:ind w:left="99"/>
      </w:pPr>
      <w:r>
        <w:rPr>
          <w:color w:val="6E6158"/>
        </w:rPr>
        <w:t>construction,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power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energy</w:t>
      </w:r>
      <w:r>
        <w:rPr>
          <w:color w:val="6E6158"/>
          <w:spacing w:val="14"/>
        </w:rPr>
        <w:t> </w:t>
      </w:r>
      <w:r>
        <w:rPr>
          <w:color w:val="6E6158"/>
        </w:rPr>
        <w:t>issues,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others.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474"/>
      </w:pPr>
      <w:r>
        <w:rPr>
          <w:color w:val="6E6158"/>
        </w:rPr>
        <w:t>Kathleen also served at the U.S. Department of Energy in the Office of the Under Secretary,</w:t>
      </w:r>
      <w:r>
        <w:rPr>
          <w:color w:val="6E6158"/>
          <w:spacing w:val="40"/>
        </w:rPr>
        <w:t> </w:t>
      </w:r>
      <w:r>
        <w:rPr>
          <w:color w:val="6E6158"/>
        </w:rPr>
        <w:t>supporting senior leadership on matters involving nuclear energy, technology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federal regulatory coordination. She developed significant knowledge of DOE statutory and</w:t>
      </w:r>
      <w:r>
        <w:rPr>
          <w:color w:val="6E6158"/>
          <w:spacing w:val="40"/>
        </w:rPr>
        <w:t> </w:t>
      </w:r>
      <w:r>
        <w:rPr>
          <w:color w:val="6E6158"/>
        </w:rPr>
        <w:t>regulatory frameworks, DOE nuclear authorities, and the interaction between DOE and the NRC.</w:t>
      </w:r>
      <w:r>
        <w:rPr>
          <w:color w:val="6E6158"/>
          <w:spacing w:val="40"/>
        </w:rPr>
        <w:t> </w:t>
      </w:r>
      <w:r>
        <w:rPr>
          <w:color w:val="6E6158"/>
        </w:rPr>
        <w:t>Her subsequent work has included federal regulatory compliance and environmental review</w:t>
      </w:r>
      <w:r>
        <w:rPr>
          <w:color w:val="6E6158"/>
          <w:spacing w:val="40"/>
        </w:rPr>
        <w:t> </w:t>
      </w:r>
      <w:r>
        <w:rPr>
          <w:color w:val="6E6158"/>
        </w:rPr>
        <w:t>(including NEPA), interagency coordination involving DOE, DOI, EPA, and other agencies, </w:t>
      </w:r>
      <w:r>
        <w:rPr>
          <w:color w:val="6E6158"/>
        </w:rPr>
        <w:t>federal contracting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grant</w:t>
      </w:r>
      <w:r>
        <w:rPr>
          <w:color w:val="6E6158"/>
          <w:spacing w:val="34"/>
        </w:rPr>
        <w:t> </w:t>
      </w:r>
      <w:r>
        <w:rPr>
          <w:color w:val="6E6158"/>
        </w:rPr>
        <w:t>programs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energy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infrastructure</w:t>
      </w:r>
      <w:r>
        <w:rPr>
          <w:color w:val="6E6158"/>
          <w:spacing w:val="34"/>
        </w:rPr>
        <w:t> </w:t>
      </w:r>
      <w:r>
        <w:rPr>
          <w:color w:val="6E6158"/>
        </w:rPr>
        <w:t>projects,</w:t>
      </w:r>
      <w:r>
        <w:rPr>
          <w:color w:val="6E6158"/>
          <w:spacing w:val="34"/>
        </w:rPr>
        <w:t> </w:t>
      </w:r>
      <w:r>
        <w:rPr>
          <w:color w:val="6E6158"/>
        </w:rPr>
        <w:t>review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federal regulatory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contractual</w:t>
      </w:r>
      <w:r>
        <w:rPr>
          <w:color w:val="6E6158"/>
          <w:spacing w:val="31"/>
        </w:rPr>
        <w:t> </w:t>
      </w:r>
      <w:r>
        <w:rPr>
          <w:color w:val="6E6158"/>
        </w:rPr>
        <w:t>exposure,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NEPA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environmental</w:t>
      </w:r>
      <w:r>
        <w:rPr>
          <w:color w:val="6E6158"/>
          <w:spacing w:val="31"/>
        </w:rPr>
        <w:t> </w:t>
      </w:r>
      <w:r>
        <w:rPr>
          <w:color w:val="6E6158"/>
        </w:rPr>
        <w:t>review</w:t>
      </w:r>
      <w:r>
        <w:rPr>
          <w:color w:val="6E6158"/>
          <w:spacing w:val="31"/>
        </w:rPr>
        <w:t> </w:t>
      </w:r>
      <w:r>
        <w:rPr>
          <w:color w:val="6E6158"/>
        </w:rPr>
        <w:t>issues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nuclear</w:t>
      </w:r>
      <w:r>
        <w:rPr>
          <w:color w:val="6E6158"/>
          <w:spacing w:val="31"/>
        </w:rPr>
        <w:t> </w:t>
      </w:r>
      <w:r>
        <w:rPr>
          <w:color w:val="6E6158"/>
        </w:rPr>
        <w:t>or</w:t>
      </w:r>
    </w:p>
    <w:p>
      <w:pPr>
        <w:pStyle w:val="BodyText"/>
        <w:spacing w:line="292" w:lineRule="auto" w:before="3"/>
        <w:ind w:left="99" w:right="740"/>
      </w:pPr>
      <w:r>
        <w:rPr>
          <w:color w:val="6E6158"/>
        </w:rPr>
        <w:t>nuclear-adjacent facilities. In M&amp;A matters, she supports transaction teams by reviewing </w:t>
      </w:r>
      <w:r>
        <w:rPr>
          <w:color w:val="6E6158"/>
        </w:rPr>
        <w:t>DOE,</w:t>
      </w:r>
      <w:r>
        <w:rPr>
          <w:color w:val="6E6158"/>
          <w:spacing w:val="40"/>
        </w:rPr>
        <w:t> </w:t>
      </w:r>
      <w:r>
        <w:rPr>
          <w:color w:val="6E6158"/>
        </w:rPr>
        <w:t>NEPA, federal regulatory, and interagency issues, and mapping those risks into deal terms,</w:t>
      </w:r>
      <w:r>
        <w:rPr>
          <w:color w:val="6E6158"/>
          <w:spacing w:val="40"/>
        </w:rPr>
        <w:t> </w:t>
      </w:r>
      <w:r>
        <w:rPr>
          <w:color w:val="6E6158"/>
        </w:rPr>
        <w:t>closing conditions, and integration planning.</w:t>
      </w:r>
    </w:p>
    <w:p>
      <w:pPr>
        <w:pStyle w:val="BodyText"/>
        <w:spacing w:line="292" w:lineRule="auto" w:before="205"/>
        <w:ind w:left="99" w:right="740"/>
      </w:pPr>
      <w:r>
        <w:rPr>
          <w:color w:val="6E6158"/>
        </w:rPr>
        <w:t>In addition to her legal accomplishments, Kathleen has authored and co-authored several</w:t>
      </w:r>
      <w:r>
        <w:rPr>
          <w:color w:val="6E6158"/>
          <w:spacing w:val="40"/>
        </w:rPr>
        <w:t> </w:t>
      </w:r>
      <w:r>
        <w:rPr>
          <w:color w:val="6E6158"/>
        </w:rPr>
        <w:t>notable publications articles, including a book on water law, trends and practices. She is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16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American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Association’s</w:t>
      </w:r>
      <w:r>
        <w:rPr>
          <w:color w:val="6E6158"/>
          <w:spacing w:val="16"/>
        </w:rPr>
        <w:t> </w:t>
      </w:r>
      <w:r>
        <w:rPr>
          <w:color w:val="6E6158"/>
        </w:rPr>
        <w:t>Section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Environment,</w:t>
      </w:r>
      <w:r>
        <w:rPr>
          <w:color w:val="6E6158"/>
          <w:spacing w:val="16"/>
        </w:rPr>
        <w:t> </w:t>
      </w:r>
      <w:r>
        <w:rPr>
          <w:color w:val="6E6158"/>
        </w:rPr>
        <w:t>Energy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</w:rPr>
        <w:t>Resources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and currently serves as a member of its Book Publishing Board. She also served as the Section’s</w:t>
      </w:r>
      <w:r>
        <w:rPr>
          <w:color w:val="6E6158"/>
          <w:spacing w:val="40"/>
        </w:rPr>
        <w:t> </w:t>
      </w:r>
      <w:r>
        <w:rPr>
          <w:color w:val="6E6158"/>
        </w:rPr>
        <w:t>Publication Officer and as Chair of its national water resources committee.</w:t>
      </w:r>
    </w:p>
    <w:p>
      <w:pPr>
        <w:pStyle w:val="BodyText"/>
        <w:spacing w:line="295" w:lineRule="auto" w:before="205"/>
        <w:ind w:left="99" w:right="578"/>
      </w:pPr>
      <w:r>
        <w:rPr>
          <w:color w:val="6E6158"/>
        </w:rPr>
        <w:t>Kathleen</w:t>
      </w:r>
      <w:r>
        <w:rPr>
          <w:color w:val="6E6158"/>
          <w:spacing w:val="14"/>
        </w:rPr>
        <w:t> </w:t>
      </w:r>
      <w:r>
        <w:rPr>
          <w:color w:val="6E6158"/>
        </w:rPr>
        <w:t>earned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degree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Wyoming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Law,</w:t>
      </w:r>
      <w:r>
        <w:rPr>
          <w:color w:val="6E6158"/>
          <w:spacing w:val="14"/>
        </w:rPr>
        <w:t> </w:t>
      </w:r>
      <w:r>
        <w:rPr>
          <w:color w:val="6E6158"/>
        </w:rPr>
        <w:t>where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was a member of the Land &amp; Water Law Review. She is admitted to practice law in Idaho, Wyoming,</w:t>
      </w:r>
      <w:r>
        <w:rPr>
          <w:color w:val="6E6158"/>
          <w:spacing w:val="40"/>
        </w:rPr>
        <w:t> </w:t>
      </w:r>
      <w:r>
        <w:rPr>
          <w:color w:val="6E6158"/>
        </w:rPr>
        <w:t>and Colorado. In addition to her professional work, she is committed to community service,</w:t>
      </w:r>
      <w:r>
        <w:rPr>
          <w:color w:val="6E6158"/>
          <w:spacing w:val="40"/>
        </w:rPr>
        <w:t> </w:t>
      </w:r>
      <w:r>
        <w:rPr>
          <w:color w:val="6E6158"/>
        </w:rPr>
        <w:t>actively supporting organizations such as the Idaho Women’s Charitable Foundation and the</w:t>
      </w:r>
      <w:r>
        <w:rPr>
          <w:color w:val="6E6158"/>
          <w:spacing w:val="80"/>
        </w:rPr>
        <w:t> </w:t>
      </w:r>
      <w:r>
        <w:rPr>
          <w:color w:val="6E6158"/>
        </w:rPr>
        <w:t>Boise Contemporary Theater.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 w:after="8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Wyoming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9" coordorigin="0,0" coordsize="33,33">
                <v:shape style="position:absolute;left:0;top:0;width:33;height:33" id="docshape30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408" w:lineRule="auto" w:before="3"/>
        <w:ind w:left="351" w:right="1558" w:firstLine="496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1375552</wp:posOffset>
                </wp:positionH>
                <wp:positionV relativeFrom="paragraph">
                  <wp:posOffset>72692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852pt;width:1.65pt;height:1.65pt;mso-position-horizontal-relative:page;mso-position-vertical-relative:paragraph;z-index:15740928" id="docshape31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331058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614pt;width:1.65pt;height:1.65pt;mso-position-horizontal-relative:page;mso-position-vertical-relative:paragraph;z-index:15741440" id="docshape32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Member, </w:t>
      </w:r>
      <w:r>
        <w:rPr>
          <w:i/>
          <w:color w:val="6E6158"/>
          <w:sz w:val="20"/>
        </w:rPr>
        <w:t>Land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Review</w:t>
      </w:r>
      <w:r>
        <w:rPr>
          <w:color w:val="6E6158"/>
          <w:sz w:val="19"/>
        </w:rPr>
        <w:t>, University of Wyoming College of Law B.S., University of Wyoming</w:t>
      </w:r>
    </w:p>
    <w:p>
      <w:pPr>
        <w:pStyle w:val="Heading1"/>
        <w:spacing w:before="18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6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152563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877pt;width:1.65pt;height:1.65pt;mso-position-horizontal-relative:page;mso-position-vertical-relative:paragraph;z-index:15741952" id="docshape3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416096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47pt;width:1.65pt;height:1.65pt;mso-position-horizontal-relative:page;mso-position-vertical-relative:paragraph;z-index:15742464" id="docshape3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674461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7224pt;width:1.65pt;height:1.65pt;mso-position-horizontal-relative:page;mso-position-vertical-relative:paragraph;z-index:15742976" id="docshape35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Resources Advanced </w:t>
      </w:r>
      <w:r>
        <w:rPr>
          <w:color w:val="6E6158"/>
        </w:rPr>
        <w:t>Energy Land Use</w:t>
      </w:r>
    </w:p>
    <w:p>
      <w:pPr>
        <w:pStyle w:val="BodyText"/>
        <w:spacing w:line="420" w:lineRule="auto" w:before="6"/>
        <w:ind w:right="82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63506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518pt;width:1.65pt;height:1.65pt;mso-position-horizontal-relative:page;mso-position-vertical-relative:paragraph;z-index:15743488" id="docshape3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327039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1143pt;width:1.65pt;height:1.65pt;mso-position-horizontal-relative:page;mso-position-vertical-relative:paragraph;z-index:15744000" id="docshape37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-8"/>
        </w:rPr>
        <w:t> </w:t>
      </w:r>
      <w:r>
        <w:rPr>
          <w:color w:val="6E6158"/>
        </w:rPr>
        <w:t>Law Water Law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612505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8.22876pt;width:1.65pt;height:1.65pt;mso-position-horizontal-relative:page;mso-position-vertical-relative:paragraph;z-index:15744512" id="docshape38" coordorigin="1670,965" coordsize="33,33" path="m1691,997l1682,997,1678,996,1671,989,1670,985,1670,976,1671,973,1678,966,1682,965,1691,965,1694,966,1701,973,1702,976,1702,981,1702,985,1701,989,1694,996,1691,9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Departmental Lead on Major Water Right Adjudications and Appeals in Idaho, Washington,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and Oregon, including the Snake River Basin Adjudication (SRBA) wherein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litigated major federal water issues and appeals before the Idaho Supreme Court and the U.S.</w:t>
      </w:r>
      <w:r>
        <w:rPr>
          <w:color w:val="6E6158"/>
          <w:spacing w:val="40"/>
        </w:rPr>
        <w:t> </w:t>
      </w:r>
      <w:r>
        <w:rPr>
          <w:color w:val="6E6158"/>
        </w:rPr>
        <w:t>Supreme Court. Secured over 18,000 decreed water rights for Reclamation projects and BLM’s</w:t>
      </w:r>
      <w:r>
        <w:rPr>
          <w:color w:val="6E6158"/>
          <w:spacing w:val="40"/>
        </w:rPr>
        <w:t> </w:t>
      </w:r>
      <w:r>
        <w:rPr>
          <w:color w:val="6E6158"/>
        </w:rPr>
        <w:t>lands, including for federally reserved geothermal rights, dedicated year-round instream flows</w:t>
      </w:r>
      <w:r>
        <w:rPr>
          <w:color w:val="6E6158"/>
          <w:spacing w:val="40"/>
        </w:rPr>
        <w:t> </w:t>
      </w:r>
      <w:r>
        <w:rPr>
          <w:color w:val="6E6158"/>
        </w:rPr>
        <w:t>for the Boise River Basin.</w:t>
      </w:r>
    </w:p>
    <w:p>
      <w:pPr>
        <w:pStyle w:val="BodyText"/>
        <w:spacing w:line="292" w:lineRule="auto" w:before="114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317704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16109pt;width:1.65pt;height:1.65pt;mso-position-horizontal-relative:page;mso-position-vertical-relative:paragraph;z-index:15745024" id="docshape39" coordorigin="1670,500" coordsize="33,33" path="m1691,533l1682,533,1678,531,1671,525,1670,521,1670,512,1671,508,1678,502,1682,500,1691,500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Federal Litigator on Eastern Snake Plain Aquifer’s (ESPA) conjunctive management water call of surface and ground water users where irrigators farm two million acres of land</w:t>
      </w:r>
      <w:r>
        <w:rPr>
          <w:color w:val="6E6158"/>
          <w:spacing w:val="40"/>
        </w:rPr>
        <w:t> </w:t>
      </w:r>
      <w:r>
        <w:rPr>
          <w:color w:val="6E6158"/>
        </w:rPr>
        <w:t>overlaying the ESPA.</w:t>
      </w:r>
    </w:p>
    <w:p>
      <w:pPr>
        <w:pStyle w:val="BodyText"/>
        <w:spacing w:line="292" w:lineRule="auto" w:before="132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236138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563pt;width:1.65pt;height:1.65pt;mso-position-horizontal-relative:page;mso-position-vertical-relative:paragraph;z-index:15745536" id="docshape4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Departmental lead on $6 million dollar condemnation and property acquisition for a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water project with major contamination and clean-up regulatory requirements.</w:t>
      </w:r>
    </w:p>
    <w:p>
      <w:pPr>
        <w:pStyle w:val="BodyText"/>
        <w:spacing w:line="297" w:lineRule="auto" w:before="123"/>
        <w:ind w:right="4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323611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1241pt;width:1.65pt;height:1.65pt;mso-position-horizontal-relative:page;mso-position-vertical-relative:paragraph;z-index:15746048" id="docshape41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Oversaw the defense of Clean Water Act lawsuits like NPDES permitting, 401 certifications and TMDLs. Worked with senior governmental officials across federal agencies to reconcile internal governmental differences.</w:t>
      </w:r>
    </w:p>
    <w:p>
      <w:pPr>
        <w:pStyle w:val="BodyText"/>
        <w:spacing w:line="292" w:lineRule="auto" w:before="118"/>
        <w:ind w:right="68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227455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9882pt;width:1.65pt;height:1.65pt;mso-position-horizontal-relative:page;mso-position-vertical-relative:paragraph;z-index:15746560" id="docshape42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Supervised Department’s filings for 13 FERC licensing projects and numerous leases of </w:t>
      </w:r>
      <w:r>
        <w:rPr>
          <w:color w:val="6E6158"/>
        </w:rPr>
        <w:t>power </w:t>
      </w:r>
      <w:r>
        <w:rPr>
          <w:color w:val="6E6158"/>
          <w:spacing w:val="-2"/>
        </w:rPr>
        <w:t>privileges.</w:t>
      </w:r>
    </w:p>
    <w:p>
      <w:pPr>
        <w:pStyle w:val="BodyText"/>
        <w:spacing w:line="292" w:lineRule="auto" w:before="131"/>
        <w:ind w:right="15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323821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726pt;width:1.65pt;height:1.65pt;mso-position-horizontal-relative:page;mso-position-vertical-relative:paragraph;z-index:15747072" id="docshape43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Directed Departmental positions for negotiated rate settings on power transmission agreements and irrigation rate agreements and in apportioning cost allocations </w:t>
      </w:r>
      <w:r>
        <w:rPr>
          <w:color w:val="6E6158"/>
        </w:rPr>
        <w:t>for operation, maintenance, and replacement (OM&amp;R).</w:t>
      </w:r>
    </w:p>
    <w:p>
      <w:pPr>
        <w:pStyle w:val="BodyText"/>
        <w:spacing w:line="295" w:lineRule="auto" w:before="124"/>
        <w:ind w:right="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417484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72765pt;width:1.65pt;height:1.65pt;mso-position-horizontal-relative:page;mso-position-vertical-relative:paragraph;z-index:15747584" id="docshape44" coordorigin="1670,657" coordsize="33,33" path="m1691,690l1682,690,1678,688,1671,682,1670,678,1670,669,1671,665,1678,659,1682,657,1691,657,1694,659,1701,665,1702,669,1702,674,1702,678,1701,682,1694,688,1691,6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34"/>
        </w:rPr>
        <w:t> </w:t>
      </w:r>
      <w:r>
        <w:rPr>
          <w:color w:val="6E6158"/>
        </w:rPr>
        <w:t>difficult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key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settlements,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Wild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Scenic</w:t>
      </w:r>
      <w:r>
        <w:rPr>
          <w:color w:val="6E6158"/>
          <w:spacing w:val="34"/>
        </w:rPr>
        <w:t> </w:t>
      </w:r>
      <w:r>
        <w:rPr>
          <w:color w:val="6E6158"/>
        </w:rPr>
        <w:t>and reserved water claims to preserve wilderness attributes, and contentious federal stock water</w:t>
      </w:r>
      <w:r>
        <w:rPr>
          <w:color w:val="6E6158"/>
          <w:spacing w:val="40"/>
        </w:rPr>
        <w:t> </w:t>
      </w:r>
      <w:r>
        <w:rPr>
          <w:color w:val="6E6158"/>
        </w:rPr>
        <w:t>agreements. Departmental lead on instream flow claims, competing hydropower claims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key</w:t>
      </w:r>
      <w:r>
        <w:rPr>
          <w:color w:val="6E6158"/>
          <w:spacing w:val="40"/>
        </w:rPr>
        <w:t> </w:t>
      </w:r>
      <w:r>
        <w:rPr>
          <w:color w:val="6E6158"/>
        </w:rPr>
        <w:t>irrigation</w:t>
      </w:r>
      <w:r>
        <w:rPr>
          <w:color w:val="6E6158"/>
          <w:spacing w:val="40"/>
        </w:rPr>
        <w:t> </w:t>
      </w:r>
      <w:r>
        <w:rPr>
          <w:color w:val="6E6158"/>
        </w:rPr>
        <w:t>recertification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primary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secondary</w:t>
      </w:r>
      <w:r>
        <w:rPr>
          <w:color w:val="6E6158"/>
          <w:spacing w:val="40"/>
        </w:rPr>
        <w:t> </w:t>
      </w:r>
      <w:r>
        <w:rPr>
          <w:color w:val="6E6158"/>
        </w:rPr>
        <w:t>irrigation</w:t>
      </w:r>
      <w:r>
        <w:rPr>
          <w:color w:val="6E6158"/>
          <w:spacing w:val="40"/>
        </w:rPr>
        <w:t> </w:t>
      </w:r>
      <w:r>
        <w:rPr>
          <w:color w:val="6E6158"/>
        </w:rPr>
        <w:t>rights.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578pt;width:1.65pt;height:1.65pt;mso-position-horizontal-relative:page;mso-position-vertical-relative:paragraph;z-index:15748096" id="docshape45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Directed National Environmental Policy Act (NEPA) reviews, specifically thirty </w:t>
      </w:r>
      <w:r>
        <w:rPr>
          <w:color w:val="6E6158"/>
        </w:rPr>
        <w:t>Environmental Impact Statements (EIS)/RODs analyzing environmental effects from pro-posed implementation of federal projects.</w:t>
      </w:r>
    </w:p>
    <w:p>
      <w:pPr>
        <w:pStyle w:val="BodyText"/>
        <w:spacing w:line="292" w:lineRule="auto" w:before="118"/>
        <w:ind w:right="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501567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493519pt;width:1.65pt;height:1.65pt;mso-position-horizontal-relative:page;mso-position-vertical-relative:paragraph;z-index:15748608" id="docshape46" coordorigin="1670,790" coordsize="33,33" path="m1691,822l1682,822,1678,821,1671,814,1670,811,1670,802,1671,798,1678,791,1682,790,1691,790,1694,791,1701,798,1702,802,1702,806,1702,811,1701,814,1694,821,1691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Oversaw numerous Endangered Species Act (ESA) consultations, species recovery projects,</w:t>
      </w:r>
      <w:r>
        <w:rPr>
          <w:color w:val="6E6158"/>
          <w:spacing w:val="40"/>
        </w:rPr>
        <w:t> </w:t>
      </w:r>
      <w:r>
        <w:rPr>
          <w:color w:val="6E6158"/>
        </w:rPr>
        <w:t>habitat modifications and conservation plans, and ESA power shaping agreements. This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included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biological</w:t>
      </w:r>
      <w:r>
        <w:rPr>
          <w:color w:val="6E6158"/>
          <w:spacing w:val="40"/>
        </w:rPr>
        <w:t> </w:t>
      </w:r>
      <w:r>
        <w:rPr>
          <w:color w:val="6E6158"/>
        </w:rPr>
        <w:t>assessments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consultations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10"/>
        <w:ind w:right="570"/>
      </w:pPr>
      <w:r>
        <w:rPr>
          <w:color w:val="6E6158"/>
        </w:rPr>
        <w:t>reasonable and prudent measures to allow proposed projects to move forward as planned or</w:t>
      </w:r>
      <w:r>
        <w:rPr>
          <w:color w:val="6E6158"/>
          <w:spacing w:val="40"/>
        </w:rPr>
        <w:t> </w:t>
      </w:r>
      <w:r>
        <w:rPr>
          <w:color w:val="6E6158"/>
        </w:rPr>
        <w:t>with negotiated modifications and mitigation.</w:t>
      </w:r>
    </w:p>
    <w:p>
      <w:pPr>
        <w:pStyle w:val="BodyText"/>
        <w:spacing w:line="295" w:lineRule="auto" w:before="124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504898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755779pt;width:1.65pt;height:1.65pt;mso-position-horizontal-relative:page;mso-position-vertical-relative:paragraph;z-index:15749120" id="docshape47" coordorigin="1670,795" coordsize="33,33" path="m1691,828l1682,828,1678,826,1671,820,1670,816,1670,807,1671,803,1678,797,1682,795,1691,795,1694,797,1701,803,1702,807,1702,811,1702,816,1701,820,1694,826,1691,8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Supervised all Reclamation and BLM federal realty acquisitions and legal compliance work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over 12 million acres of federal lands including resource management plans, rights-of-way for</w:t>
      </w:r>
      <w:r>
        <w:rPr>
          <w:color w:val="6E6158"/>
          <w:spacing w:val="40"/>
        </w:rPr>
        <w:t> </w:t>
      </w:r>
      <w:r>
        <w:rPr>
          <w:color w:val="6E6158"/>
        </w:rPr>
        <w:t>water infrastructure and transmission corridors, land exchanges, land tenure adjustments, land</w:t>
      </w:r>
      <w:r>
        <w:rPr>
          <w:color w:val="6E6158"/>
          <w:spacing w:val="40"/>
        </w:rPr>
        <w:t> </w:t>
      </w:r>
      <w:r>
        <w:rPr>
          <w:color w:val="6E6158"/>
        </w:rPr>
        <w:t>patents,</w:t>
      </w:r>
      <w:r>
        <w:rPr>
          <w:color w:val="6E6158"/>
          <w:spacing w:val="40"/>
        </w:rPr>
        <w:t> </w:t>
      </w:r>
      <w:r>
        <w:rPr>
          <w:color w:val="6E6158"/>
        </w:rPr>
        <w:t>stewardship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timber</w:t>
      </w:r>
      <w:r>
        <w:rPr>
          <w:color w:val="6E6158"/>
          <w:spacing w:val="40"/>
        </w:rPr>
        <w:t> </w:t>
      </w:r>
      <w:r>
        <w:rPr>
          <w:color w:val="6E6158"/>
        </w:rPr>
        <w:t>harvests,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special</w:t>
      </w:r>
      <w:r>
        <w:rPr>
          <w:color w:val="6E6158"/>
          <w:spacing w:val="40"/>
        </w:rPr>
        <w:t>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permits.</w:t>
      </w:r>
      <w:r>
        <w:rPr>
          <w:color w:val="6E6158"/>
          <w:spacing w:val="40"/>
        </w:rPr>
        <w:t> </w:t>
      </w:r>
      <w:r>
        <w:rPr>
          <w:color w:val="6E6158"/>
        </w:rPr>
        <w:t>Approved</w:t>
      </w:r>
    </w:p>
    <w:p>
      <w:pPr>
        <w:pStyle w:val="BodyText"/>
        <w:spacing w:line="420" w:lineRule="auto" w:before="1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323606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0825pt;width:1.65pt;height:1.65pt;mso-position-horizontal-relative:page;mso-position-vertical-relative:paragraph;z-index:15749632" id="docshape48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ejectment actions, enforcement of unauthorized uses, and recoupment for damages.</w:t>
      </w:r>
      <w:r>
        <w:rPr>
          <w:color w:val="6E6158"/>
          <w:spacing w:val="40"/>
        </w:rPr>
        <w:t> </w:t>
      </w:r>
      <w:r>
        <w:rPr>
          <w:color w:val="6E6158"/>
        </w:rPr>
        <w:t>Chaired,</w:t>
      </w:r>
      <w:r>
        <w:rPr>
          <w:color w:val="6E6158"/>
          <w:spacing w:val="14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Interior’s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Group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forty</w:t>
      </w:r>
      <w:r>
        <w:rPr>
          <w:color w:val="6E6158"/>
          <w:spacing w:val="14"/>
        </w:rPr>
        <w:t> </w:t>
      </w:r>
      <w:r>
        <w:rPr>
          <w:color w:val="6E6158"/>
        </w:rPr>
        <w:t>attorneys.</w:t>
      </w:r>
    </w:p>
    <w:p>
      <w:pPr>
        <w:pStyle w:val="Heading1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right="4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152405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40pt;width:1.65pt;height:1.65pt;mso-position-horizontal-relative:page;mso-position-vertical-relative:paragraph;z-index:15750144" id="docshape4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415937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0992pt;width:1.65pt;height:1.65pt;mso-position-horizontal-relative:page;mso-position-vertical-relative:paragraph;z-index:15750656" id="docshape5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 of the American Bar Foundation, March </w:t>
      </w:r>
      <w:r>
        <w:rPr>
          <w:color w:val="6E6158"/>
        </w:rPr>
        <w:t>2025 </w:t>
      </w:r>
      <w:hyperlink r:id="rId11">
        <w:r>
          <w:rPr>
            <w:color w:val="F5821F"/>
          </w:rPr>
          <w:t>500 Leading U.S. Energy Lawyers, Lawdragon, 2025</w:t>
        </w:r>
      </w:hyperlink>
    </w:p>
    <w:p>
      <w:pPr>
        <w:pStyle w:val="BodyText"/>
        <w:spacing w:line="427" w:lineRule="auto"/>
        <w:ind w:right="5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63852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775pt;width:1.65pt;height:1.65pt;mso-position-horizontal-relative:page;mso-position-vertical-relative:paragraph;z-index:15751168" id="docshape5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322218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1523pt;width:1.65pt;height:1.65pt;mso-position-horizontal-relative:page;mso-position-vertical-relative:paragraph;z-index:15751680" id="docshape5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U.S. Attorney Letter of </w:t>
        </w:r>
        <w:r>
          <w:rPr>
            <w:color w:val="F5821F"/>
          </w:rPr>
          <w:t>Commendation</w:t>
        </w:r>
      </w:hyperlink>
      <w:r>
        <w:rPr>
          <w:color w:val="F5821F"/>
        </w:rPr>
        <w:t> </w:t>
      </w:r>
      <w:r>
        <w:rPr>
          <w:color w:val="6E6158"/>
        </w:rPr>
        <w:t>Marquis Who’s Who in America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59135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6318pt;width:1.65pt;height:1.65pt;mso-position-horizontal-relative:page;mso-position-vertical-relative:paragraph;z-index:15752192" id="docshape53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7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174291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23771pt;width:1.65pt;height:1.65pt;mso-position-horizontal-relative:page;mso-position-vertical-relative:paragraph;z-index:15752704" id="docshape54" coordorigin="1670,274" coordsize="33,33" path="m1691,307l1682,307,1678,305,1671,299,1670,295,1670,286,1671,282,1678,276,1682,274,1691,274,1694,276,1701,282,1702,286,1702,291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432657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67513pt;width:1.65pt;height:1.65pt;mso-position-horizontal-relative:page;mso-position-vertical-relative:paragraph;z-index:15753216" id="docshape55" coordorigin="1670,681" coordsize="33,33" path="m1691,714l1682,714,1678,712,1671,706,1670,702,1670,693,1671,689,1678,683,1682,681,1691,681,1694,683,1701,689,1702,693,1702,698,1702,702,1701,706,1694,712,1691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Who’s Who Lifetime Achievement – Consistent Career excellence 20+ years, 2022 to </w:t>
      </w:r>
      <w:r>
        <w:rPr>
          <w:color w:val="6E6158"/>
        </w:rPr>
        <w:t>present</w:t>
      </w:r>
      <w:r>
        <w:rPr>
          <w:color w:val="6E6158"/>
          <w:spacing w:val="40"/>
        </w:rPr>
        <w:t> </w:t>
      </w:r>
      <w:r>
        <w:rPr>
          <w:color w:val="6E6158"/>
        </w:rPr>
        <w:t>Who’s Who in American Law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63427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311pt;width:1.65pt;height:1.65pt;mso-position-horizontal-relative:page;mso-position-vertical-relative:paragraph;z-index:15753728" id="docshape56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Who’s</w:t>
      </w:r>
      <w:r>
        <w:rPr>
          <w:color w:val="6E6158"/>
          <w:spacing w:val="8"/>
        </w:rPr>
        <w:t> </w:t>
      </w:r>
      <w:r>
        <w:rPr>
          <w:color w:val="6E6158"/>
        </w:rPr>
        <w:t>Who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West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245709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7176pt;width:1.65pt;height:1.65pt;mso-position-horizontal-relative:page;mso-position-vertical-relative:paragraph;z-index:15754240" id="docshape57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“Saving Farmland in Law &amp; Practice,” National American Water Resources Association (AWRA) Conference, November 12, 2025</w:t>
      </w:r>
    </w:p>
    <w:p>
      <w:pPr>
        <w:pStyle w:val="BodyText"/>
        <w:spacing w:before="131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Cooperative</w:t>
      </w:r>
      <w:r>
        <w:rPr>
          <w:color w:val="6E6158"/>
          <w:spacing w:val="11"/>
        </w:rPr>
        <w:t> </w:t>
      </w:r>
      <w:r>
        <w:rPr>
          <w:color w:val="6E6158"/>
        </w:rPr>
        <w:t>Federalism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Wyoming</w:t>
      </w:r>
      <w:r>
        <w:rPr>
          <w:color w:val="6E6158"/>
          <w:spacing w:val="11"/>
        </w:rPr>
        <w:t> </w:t>
      </w:r>
      <w:r>
        <w:rPr>
          <w:color w:val="6E6158"/>
        </w:rPr>
        <w:t>(Gina</w:t>
      </w:r>
      <w:r>
        <w:rPr>
          <w:color w:val="6E6158"/>
          <w:spacing w:val="11"/>
        </w:rPr>
        <w:t> </w:t>
      </w:r>
      <w:r>
        <w:rPr>
          <w:color w:val="6E6158"/>
        </w:rPr>
        <w:t>Guy</w:t>
      </w:r>
      <w:r>
        <w:rPr>
          <w:color w:val="6E6158"/>
          <w:spacing w:val="11"/>
        </w:rPr>
        <w:t> </w:t>
      </w:r>
      <w:r>
        <w:rPr>
          <w:color w:val="6E6158"/>
        </w:rPr>
        <w:t>Keynote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52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92546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287148pt;width:1.65pt;height:1.65pt;mso-position-horizontal-relative:page;mso-position-vertical-relative:paragraph;z-index:15754752" id="docshape58" coordorigin="1670,146" coordsize="33,33" path="m1691,178l1682,178,1678,177,1671,170,1670,167,1670,158,1671,154,1678,147,1682,146,1691,146,1694,147,1701,154,1702,158,1702,162,1702,167,1701,170,1694,177,1691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Service), Energy Law &amp; Policy in the Rockies Conference, Laramie, </w:t>
      </w:r>
      <w:r>
        <w:rPr>
          <w:color w:val="6E6158"/>
        </w:rPr>
        <w:t>Wyoming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2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235987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673pt;width:1.65pt;height:1.65pt;mso-position-horizontal-relative:page;mso-position-vertical-relative:paragraph;z-index:15755264" id="docshape5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Developing a Good Working Relationship with a Federal Agency, Tri-State </w:t>
      </w:r>
      <w:r>
        <w:rPr>
          <w:color w:val="6E6158"/>
        </w:rPr>
        <w:t>Meeting and Idaho Water Users Meeting, Boise, Idaho 2016</w:t>
      </w:r>
    </w:p>
    <w:p>
      <w:pPr>
        <w:pStyle w:val="BodyText"/>
        <w:spacing w:line="292" w:lineRule="auto" w:before="113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224331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3887pt;width:1.65pt;height:1.65pt;mso-position-horizontal-relative:page;mso-position-vertical-relative:paragraph;z-index:15755776" id="docshape6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 Prohibited Federal Personnel Practices, National Interagency Fire Center, Boise, </w:t>
      </w:r>
      <w:r>
        <w:rPr>
          <w:color w:val="6E6158"/>
        </w:rPr>
        <w:t>Idaho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2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236026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742pt;width:1.65pt;height:1.65pt;mso-position-horizontal-relative:page;mso-position-vertical-relative:paragraph;z-index:15756288" id="docshape6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Federal Water Rights Adjudicated in the Snake River Basin Adjudication, </w:t>
      </w:r>
      <w:r>
        <w:rPr>
          <w:color w:val="6E6158"/>
        </w:rPr>
        <w:t>Solicitor’s Office &amp; DOJ Conference, 2014</w:t>
      </w:r>
    </w:p>
    <w:p>
      <w:pPr>
        <w:pStyle w:val="BodyText"/>
        <w:spacing w:line="283" w:lineRule="auto" w:before="113"/>
        <w:ind w:right="10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224370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956pt;width:1.65pt;height:1.65pt;mso-position-horizontal-relative:page;mso-position-vertical-relative:paragraph;z-index:15756800" id="docshape6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Significant Legal Milestones in Idaho Water Law: A Reclamation Perspective. </w:t>
      </w:r>
      <w:r>
        <w:rPr>
          <w:color w:val="6E6158"/>
        </w:rPr>
        <w:t>THE ADVOCATE, </w:t>
      </w:r>
      <w:r>
        <w:rPr>
          <w:i/>
          <w:color w:val="6E6158"/>
          <w:sz w:val="20"/>
        </w:rPr>
        <w:t>Idaho Bar Journal</w:t>
      </w:r>
      <w:r>
        <w:rPr>
          <w:color w:val="6E6158"/>
        </w:rPr>
        <w:t>, 2010</w:t>
      </w:r>
    </w:p>
    <w:p>
      <w:pPr>
        <w:pStyle w:val="BodyText"/>
        <w:spacing w:line="302" w:lineRule="auto" w:before="128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238712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6242pt;width:1.65pt;height:1.65pt;mso-position-horizontal-relative:page;mso-position-vertical-relative:paragraph;z-index:15757312" id="docshape63" coordorigin="1670,376" coordsize="33,33" path="m1691,408l1682,408,1678,407,1671,401,1670,397,1670,388,1671,384,1678,378,1682,376,1691,376,1694,378,1701,384,1702,388,1702,392,1702,397,1701,401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Conference Chair “Competing for the Mighty Columbia River – Past, Present &amp; Future” </w:t>
      </w:r>
      <w:r>
        <w:rPr>
          <w:color w:val="6E6158"/>
        </w:rPr>
        <w:t>Boise,</w:t>
      </w:r>
      <w:r>
        <w:rPr>
          <w:color w:val="6E6158"/>
          <w:spacing w:val="40"/>
        </w:rPr>
        <w:t> </w:t>
      </w:r>
      <w:r>
        <w:rPr>
          <w:color w:val="6E6158"/>
        </w:rPr>
        <w:t>Idaho, 1998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136035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1464pt;width:1.65pt;height:1.65pt;mso-position-horizontal-relative:page;mso-position-vertical-relative:paragraph;z-index:15757824" id="docshape6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Co-Editor,</w:t>
      </w:r>
      <w:r>
        <w:rPr>
          <w:color w:val="6E6158"/>
          <w:spacing w:val="3"/>
        </w:rPr>
        <w:t> </w:t>
      </w:r>
      <w:r>
        <w:rPr>
          <w:color w:val="6E6158"/>
        </w:rPr>
        <w:t>ABA,</w:t>
      </w:r>
      <w:r>
        <w:rPr>
          <w:color w:val="6E6158"/>
          <w:spacing w:val="3"/>
        </w:rPr>
        <w:t> </w:t>
      </w:r>
      <w:r>
        <w:rPr>
          <w:color w:val="6E6158"/>
        </w:rPr>
        <w:t>WATER</w:t>
      </w:r>
      <w:r>
        <w:rPr>
          <w:color w:val="6E6158"/>
          <w:spacing w:val="3"/>
        </w:rPr>
        <w:t> </w:t>
      </w:r>
      <w:r>
        <w:rPr>
          <w:color w:val="6E6158"/>
        </w:rPr>
        <w:t>LAW</w:t>
      </w:r>
      <w:r>
        <w:rPr>
          <w:color w:val="6E6158"/>
          <w:spacing w:val="4"/>
        </w:rPr>
        <w:t> </w:t>
      </w:r>
      <w:r>
        <w:rPr>
          <w:color w:val="6E6158"/>
        </w:rPr>
        <w:t>TRENDS</w:t>
      </w:r>
      <w:r>
        <w:rPr>
          <w:color w:val="6E6158"/>
          <w:spacing w:val="3"/>
        </w:rPr>
        <w:t> </w:t>
      </w:r>
      <w:r>
        <w:rPr>
          <w:color w:val="6E6158"/>
        </w:rPr>
        <w:t>AND</w:t>
      </w:r>
      <w:r>
        <w:rPr>
          <w:color w:val="6E6158"/>
          <w:spacing w:val="3"/>
        </w:rPr>
        <w:t> </w:t>
      </w:r>
      <w:r>
        <w:rPr>
          <w:color w:val="6E6158"/>
        </w:rPr>
        <w:t>POLICIES,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1994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298459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763pt;width:1.65pt;height:1.65pt;mso-position-horizontal-relative:page;mso-position-vertical-relative:paragraph;z-index:15758336" id="docshape65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LAND AND WATER LAW REVIEW, Glen Canyon Dam Operating Authority: Producing Electricity and Preserving the Grand Canyon River Environment; republished in the NATIONAL</w:t>
      </w:r>
      <w:r>
        <w:rPr>
          <w:color w:val="6E6158"/>
          <w:spacing w:val="40"/>
        </w:rPr>
        <w:t> </w:t>
      </w:r>
      <w:r>
        <w:rPr>
          <w:color w:val="6E6158"/>
        </w:rPr>
        <w:t>PUBLIC UTILITIES LAW ANTHOLOGY, 1991</w:t>
      </w:r>
    </w:p>
    <w:p>
      <w:pPr>
        <w:pStyle w:val="Heading1"/>
        <w:spacing w:before="15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6"/>
        <w:ind w:right="3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157545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164pt;width:1.65pt;height:1.65pt;mso-position-horizontal-relative:page;mso-position-vertical-relative:paragraph;z-index:15758848" id="docshape6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415911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92pt;width:1.65pt;height:1.65pt;mso-position-horizontal-relative:page;mso-position-vertical-relative:paragraph;z-index:15759360" id="docshape6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674276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267pt;width:1.65pt;height:1.65pt;mso-position-horizontal-relative:page;mso-position-vertical-relative:paragraph;z-index:15759872" id="docshape68" coordorigin="1670,1062" coordsize="33,33" path="m1691,1094l1682,1094,1678,1093,1671,1086,1670,1083,1670,1074,1671,1070,1678,1063,1682,1062,1691,1062,1694,1063,1701,1070,1702,1074,1702,1078,1702,1083,1701,1086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932644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36592pt;width:1.65pt;height:1.65pt;mso-position-horizontal-relative:page;mso-position-vertical-relative:paragraph;z-index:15760384" id="docshape69" coordorigin="1670,1469" coordsize="33,33" path="m1691,1501l1682,1501,1678,1500,1671,1493,1670,1490,1670,1481,1671,1477,1678,1470,1682,1469,1691,1469,1694,1470,1701,1477,1702,1481,1702,1485,1702,1490,1701,1493,1694,1500,1691,15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Book Publishing Board, ABA/SEER, 2000-present Member, Idaho Women’s Charitable Foundation, 2015-</w:t>
      </w:r>
      <w:r>
        <w:rPr>
          <w:color w:val="6E6158"/>
        </w:rPr>
        <w:t>present Trustee &amp; Secretary, Boise Contemporary Theater, 2017-2023 Founding Member, 211 or Idaho Care Line, Founding Member</w:t>
      </w:r>
    </w:p>
    <w:p>
      <w:pPr>
        <w:pStyle w:val="Heading1"/>
        <w:spacing w:before="157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80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157902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247pt;width:1.65pt;height:1.65pt;mso-position-horizontal-relative:page;mso-position-vertical-relative:paragraph;z-index:15760896" id="docshape7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416267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997pt;width:1.65pt;height:1.65pt;mso-position-horizontal-relative:page;mso-position-vertical-relative:paragraph;z-index:15761408" id="docshape71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674633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0731pt;width:1.65pt;height:1.65pt;mso-position-horizontal-relative:page;mso-position-vertical-relative:paragraph;z-index:15761920" id="docshape72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 Wyoming Colorado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58605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14598pt;width:1.65pt;height:1.65pt;mso-position-horizontal-relative:page;mso-position-vertical-relative:paragraph;z-index:15762432" id="docshape73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174996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258pt;width:1.65pt;height:1.65pt;mso-position-horizontal-relative:page;mso-position-vertical-relative:paragraph;z-index:15762944" id="docshape7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Wyoming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carr@fennemorelaw.com" TargetMode="External"/><Relationship Id="rId11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2" Type="http://schemas.openxmlformats.org/officeDocument/2006/relationships/hyperlink" Target="https://www.fennemorelaw.com/wp-content/uploads/2024/09/US-Attorney-Letter-Commendation-to-Kathleen-M-Carr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M. Carr - Fennemore</dc:title>
  <dcterms:created xsi:type="dcterms:W3CDTF">2026-02-04T18:40:13Z</dcterms:created>
  <dcterms:modified xsi:type="dcterms:W3CDTF">2026-02-04T18:40:13Z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2026-02-04T00:00:00Z</vt:filetime>
  </property>
  <property fmtid="{D5CDD505-2E9C-101B-9397-08002B2CF9AE}" pid="5" name="Producer">
    <vt:lpwstr>Skia/PDF m142</vt:lpwstr>
  </property>
</Properties>
</file>