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spacing w:before="116"/>
        <w:rPr>
          <w:rFonts w:ascii="Times New Roman"/>
          <w:sz w:val="24"/>
        </w:rPr>
      </w:pP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848486</wp:posOffset>
                </wp:positionH>
                <wp:positionV relativeFrom="paragraph">
                  <wp:posOffset>-3231247</wp:posOffset>
                </wp:positionV>
                <wp:extent cx="6071870" cy="316293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3162935"/>
                          <a:chExt cx="6071870" cy="3162935"/>
                        </a:xfrm>
                      </wpg:grpSpPr>
                      <pic:pic>
                        <pic:nvPicPr>
                          <pic:cNvPr id="2" name="Image 2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 descr="Lindsay Morgan bio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89369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3038379" y="268700"/>
                            <a:ext cx="3033395" cy="2893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893695">
                                <a:moveTo>
                                  <a:pt x="3033212" y="2893694"/>
                                </a:moveTo>
                                <a:lnTo>
                                  <a:pt x="0" y="2893694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8936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493097" y="1643214"/>
                            <a:ext cx="2118995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8995" h="320675">
                                <a:moveTo>
                                  <a:pt x="2118601" y="315201"/>
                                </a:moveTo>
                                <a:lnTo>
                                  <a:pt x="0" y="315201"/>
                                </a:lnTo>
                                <a:lnTo>
                                  <a:pt x="0" y="320370"/>
                                </a:lnTo>
                                <a:lnTo>
                                  <a:pt x="2118601" y="320370"/>
                                </a:lnTo>
                                <a:lnTo>
                                  <a:pt x="2118601" y="315201"/>
                                </a:lnTo>
                                <a:close/>
                              </a:path>
                              <a:path w="2118995" h="320675">
                                <a:moveTo>
                                  <a:pt x="21186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2118601" y="5168"/>
                                </a:lnTo>
                                <a:lnTo>
                                  <a:pt x="21186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965024" y="763308"/>
                            <a:ext cx="1190625" cy="10991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16" w:lineRule="auto" w:before="40"/>
                                <w:ind w:left="0" w:right="18" w:hanging="1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LINDSEY MORGAN</w:t>
                              </w:r>
                            </w:p>
                            <w:p>
                              <w:pPr>
                                <w:spacing w:before="48"/>
                                <w:ind w:left="0" w:right="18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z w:val="24"/>
                                </w:rPr>
                                <w:t>Of</w:t>
                              </w:r>
                              <w:r>
                                <w:rPr>
                                  <w:color w:val="FFFFFF"/>
                                  <w:spacing w:val="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Counsel</w:t>
                              </w:r>
                            </w:p>
                            <w:p>
                              <w:pPr>
                                <w:spacing w:before="291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Business</w:t>
                                </w:r>
                                <w:r>
                                  <w:rPr>
                                    <w:color w:val="FFFFFF"/>
                                    <w:spacing w:val="6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Litigation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4182212" y="2133494"/>
                            <a:ext cx="7556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Coeur</w:t>
                                </w:r>
                                <w:r>
                                  <w:rPr>
                                    <w:color w:val="FFFFFF"/>
                                    <w:spacing w:val="4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d’Alene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582320" y="2293650"/>
                            <a:ext cx="79883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208.956.0137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4750778" y="2293650"/>
                            <a:ext cx="78740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F: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602.916.5999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3802738" y="2500373"/>
                            <a:ext cx="151511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lmorgan@fennemorelaw.com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6.809998pt;margin-top:-254.428909pt;width:478.1pt;height:249.05pt;mso-position-horizontal-relative:page;mso-position-vertical-relative:paragraph;z-index:15728640" id="docshapegroup1" coordorigin="1336,-5089" coordsize="9562,4981">
                <v:shape style="position:absolute;left:1336;top:-5089;width:2165;height:424" type="#_x0000_t75" id="docshape2" alt="Fennemore" href="https://www.fennemorelaw.com/" stroked="false">
                  <v:imagedata r:id="rId5" o:title=""/>
                </v:shape>
                <v:shape style="position:absolute;left:1336;top:-4666;width:4785;height:4557" type="#_x0000_t75" id="docshape3" alt="Lindsay Morgan bio" stroked="false">
                  <v:imagedata r:id="rId7" o:title=""/>
                </v:shape>
                <v:rect style="position:absolute;left:6121;top:-4666;width:4777;height:4557" id="docshape4" filled="true" fillcolor="#262424" stroked="false">
                  <v:fill type="solid"/>
                </v:rect>
                <v:shape style="position:absolute;left:6837;top:-2501;width:3337;height:505" id="docshape5" coordorigin="6837,-2501" coordsize="3337,505" path="m10174,-2004l6837,-2004,6837,-1996,10174,-1996,10174,-2004xm10174,-2501l6837,-2501,6837,-2493,10174,-2493,10174,-2501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7580;top:-3887;width:1875;height:1731" type="#_x0000_t202" id="docshape6" filled="false" stroked="false">
                  <v:textbox inset="0,0,0,0">
                    <w:txbxContent>
                      <w:p>
                        <w:pPr>
                          <w:spacing w:line="216" w:lineRule="auto" w:before="40"/>
                          <w:ind w:left="0" w:right="18" w:hanging="1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LINDSEY MORGAN</w:t>
                        </w:r>
                      </w:p>
                      <w:p>
                        <w:pPr>
                          <w:spacing w:before="48"/>
                          <w:ind w:left="0" w:right="18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z w:val="24"/>
                          </w:rPr>
                          <w:t>Of</w:t>
                        </w:r>
                        <w:r>
                          <w:rPr>
                            <w:color w:val="FFFFFF"/>
                            <w:spacing w:val="3"/>
                            <w:sz w:val="24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Counsel</w:t>
                        </w:r>
                      </w:p>
                      <w:p>
                        <w:pPr>
                          <w:spacing w:before="291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Business</w:t>
                          </w:r>
                          <w:r>
                            <w:rPr>
                              <w:color w:val="FFFFFF"/>
                              <w:spacing w:val="6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Litigation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7922;top:-1729;width:1190;height:200" type="#_x0000_t202" id="docshape7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z w:val="16"/>
                            </w:rPr>
                            <w:t>Coeur</w:t>
                          </w:r>
                          <w:r>
                            <w:rPr>
                              <w:color w:val="FFFFFF"/>
                              <w:spacing w:val="4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d’Alene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6977;top:-1477;width:1258;height:210" type="#_x0000_t202" id="docshape8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208.956.0137</w:t>
                        </w:r>
                      </w:p>
                    </w:txbxContent>
                  </v:textbox>
                  <w10:wrap type="none"/>
                </v:shape>
                <v:shape style="position:absolute;left:8817;top:-1477;width:1240;height:210" type="#_x0000_t202" id="docshape9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F: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602.916.5999</w:t>
                        </w:r>
                      </w:p>
                    </w:txbxContent>
                  </v:textbox>
                  <w10:wrap type="none"/>
                </v:shape>
                <v:shape style="position:absolute;left:7324;top:-1151;width:2386;height:200" type="#_x0000_t202" id="docshape10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lmorgan@fennemorelaw.com</w:t>
                          </w:r>
                        </w:hyperlink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FF8100"/>
        </w:rPr>
        <w:t>LINDSEY</w:t>
      </w:r>
      <w:r>
        <w:rPr>
          <w:color w:val="FF8100"/>
          <w:spacing w:val="10"/>
        </w:rPr>
        <w:t> </w:t>
      </w:r>
      <w:r>
        <w:rPr>
          <w:color w:val="FF8100"/>
          <w:spacing w:val="-2"/>
        </w:rPr>
        <w:t>MORGAN</w:t>
      </w:r>
    </w:p>
    <w:p>
      <w:pPr>
        <w:pStyle w:val="BodyText"/>
        <w:spacing w:line="295" w:lineRule="auto" w:before="146"/>
        <w:ind w:left="99" w:right="163"/>
      </w:pPr>
      <w:r>
        <w:rPr>
          <w:color w:val="6E6158"/>
        </w:rPr>
        <w:t>Lindsey Morgan is an Of Counsel Attorney in Fennemore’s Business Litigation practice group. She</w:t>
      </w:r>
      <w:r>
        <w:rPr>
          <w:color w:val="6E6158"/>
          <w:spacing w:val="40"/>
        </w:rPr>
        <w:t> </w:t>
      </w:r>
      <w:r>
        <w:rPr>
          <w:color w:val="6E6158"/>
        </w:rPr>
        <w:t>focuses her practice on the defense of real estate and insurance professionals, complex </w:t>
      </w:r>
      <w:r>
        <w:rPr>
          <w:color w:val="6E6158"/>
        </w:rPr>
        <w:t>business</w:t>
      </w:r>
      <w:r>
        <w:rPr>
          <w:color w:val="6E6158"/>
          <w:spacing w:val="40"/>
        </w:rPr>
        <w:t> </w:t>
      </w:r>
      <w:r>
        <w:rPr>
          <w:color w:val="6E6158"/>
        </w:rPr>
        <w:t>and ownership disputes, and commercial litigation involving significant financial and operational</w:t>
      </w:r>
      <w:r>
        <w:rPr>
          <w:color w:val="6E6158"/>
          <w:spacing w:val="40"/>
        </w:rPr>
        <w:t> </w:t>
      </w:r>
      <w:r>
        <w:rPr>
          <w:color w:val="6E6158"/>
        </w:rPr>
        <w:t>risk. She regularly represents businesses and individuals in disputes involving fiduciary duties,</w:t>
      </w:r>
      <w:r>
        <w:rPr>
          <w:color w:val="6E6158"/>
          <w:spacing w:val="40"/>
        </w:rPr>
        <w:t> </w:t>
      </w:r>
      <w:r>
        <w:rPr>
          <w:color w:val="6E6158"/>
        </w:rPr>
        <w:t>professional liability, insurance coverage, and control or ownership conflicts. Her clients include</w:t>
      </w:r>
      <w:r>
        <w:rPr>
          <w:color w:val="6E6158"/>
          <w:spacing w:val="40"/>
        </w:rPr>
        <w:t> </w:t>
      </w:r>
      <w:r>
        <w:rPr>
          <w:color w:val="6E6158"/>
        </w:rPr>
        <w:t>national real estate brokerages, insurance carriers and brokerages, and public utilities. She is</w:t>
      </w:r>
      <w:r>
        <w:rPr>
          <w:color w:val="6E6158"/>
          <w:spacing w:val="40"/>
        </w:rPr>
        <w:t> </w:t>
      </w:r>
      <w:r>
        <w:rPr>
          <w:color w:val="6E6158"/>
        </w:rPr>
        <w:t>admitted to practice in California, Washington, and Idaho.</w:t>
      </w:r>
    </w:p>
    <w:p>
      <w:pPr>
        <w:pStyle w:val="BodyText"/>
        <w:spacing w:line="292" w:lineRule="auto" w:before="200"/>
        <w:ind w:left="99"/>
      </w:pPr>
      <w:r>
        <w:rPr>
          <w:color w:val="6E6158"/>
        </w:rPr>
        <w:t>Prior to joining Fennemore, Lindsey litigated complex commercial matters in California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Washington and served as Outside General Counsel for closely held businesses and</w:t>
      </w:r>
    </w:p>
    <w:p>
      <w:pPr>
        <w:pStyle w:val="BodyText"/>
        <w:spacing w:line="295" w:lineRule="auto" w:before="9"/>
        <w:ind w:left="99" w:right="372"/>
      </w:pPr>
      <w:r>
        <w:rPr>
          <w:color w:val="6E6158"/>
        </w:rPr>
        <w:t>professionals, advising on litigation risk, governance issues, and dispute avoidance. She has</w:t>
      </w:r>
      <w:r>
        <w:rPr>
          <w:color w:val="6E6158"/>
          <w:spacing w:val="40"/>
        </w:rPr>
        <w:t> </w:t>
      </w:r>
      <w:r>
        <w:rPr>
          <w:color w:val="6E6158"/>
        </w:rPr>
        <w:t>extensive experience representing insurers and insureds in insurance coverage litigation and</w:t>
      </w:r>
      <w:r>
        <w:rPr>
          <w:color w:val="6E6158"/>
          <w:spacing w:val="40"/>
        </w:rPr>
        <w:t> </w:t>
      </w:r>
      <w:r>
        <w:rPr>
          <w:color w:val="6E6158"/>
        </w:rPr>
        <w:t>defending real estate brokerages and their employees and agents in civil litigation. Her</w:t>
      </w:r>
      <w:r>
        <w:rPr>
          <w:color w:val="6E6158"/>
          <w:spacing w:val="40"/>
        </w:rPr>
        <w:t> </w:t>
      </w:r>
      <w:r>
        <w:rPr>
          <w:color w:val="6E6158"/>
        </w:rPr>
        <w:t>coverage experience informs her litigation strategy and allows her to advise clients on risk</w:t>
      </w:r>
      <w:r>
        <w:rPr>
          <w:color w:val="6E6158"/>
          <w:spacing w:val="40"/>
        </w:rPr>
        <w:t> </w:t>
      </w:r>
      <w:r>
        <w:rPr>
          <w:color w:val="6E6158"/>
        </w:rPr>
        <w:t>allocation and dispute prevention alongside active litigation. Lindsey holds an inactive real</w:t>
      </w:r>
      <w:r>
        <w:rPr>
          <w:color w:val="6E6158"/>
          <w:spacing w:val="40"/>
        </w:rPr>
        <w:t> </w:t>
      </w:r>
      <w:r>
        <w:rPr>
          <w:color w:val="6E6158"/>
        </w:rPr>
        <w:t>estate broker license in both Idaho and California, offering industry insight without </w:t>
      </w:r>
      <w:r>
        <w:rPr>
          <w:color w:val="6E6158"/>
        </w:rPr>
        <w:t>competing</w:t>
      </w:r>
      <w:r>
        <w:rPr>
          <w:color w:val="6E6158"/>
          <w:spacing w:val="40"/>
        </w:rPr>
        <w:t> </w:t>
      </w:r>
      <w:r>
        <w:rPr>
          <w:color w:val="6E6158"/>
        </w:rPr>
        <w:t>with her clients’ interests.</w:t>
      </w:r>
    </w:p>
    <w:p>
      <w:pPr>
        <w:pStyle w:val="BodyText"/>
        <w:spacing w:line="292" w:lineRule="auto" w:before="200"/>
        <w:ind w:left="99" w:right="372"/>
      </w:pPr>
      <w:r>
        <w:rPr>
          <w:color w:val="6E6158"/>
        </w:rPr>
        <w:t>Lindsey is an active member of the Rotary Club of Coeur d’Alene, where she serves as co-chair</w:t>
      </w:r>
      <w:r>
        <w:rPr>
          <w:color w:val="6E6158"/>
          <w:spacing w:val="80"/>
        </w:rPr>
        <w:t> </w:t>
      </w:r>
      <w:r>
        <w:rPr>
          <w:color w:val="6E6158"/>
        </w:rPr>
        <w:t>of</w:t>
      </w:r>
      <w:r>
        <w:rPr>
          <w:color w:val="6E6158"/>
          <w:spacing w:val="26"/>
        </w:rPr>
        <w:t> </w:t>
      </w:r>
      <w:r>
        <w:rPr>
          <w:color w:val="6E6158"/>
        </w:rPr>
        <w:t>the</w:t>
      </w:r>
      <w:r>
        <w:rPr>
          <w:color w:val="6E6158"/>
          <w:spacing w:val="26"/>
        </w:rPr>
        <w:t> </w:t>
      </w:r>
      <w:r>
        <w:rPr>
          <w:color w:val="6E6158"/>
        </w:rPr>
        <w:t>grants</w:t>
      </w:r>
      <w:r>
        <w:rPr>
          <w:color w:val="6E6158"/>
          <w:spacing w:val="26"/>
        </w:rPr>
        <w:t> </w:t>
      </w:r>
      <w:r>
        <w:rPr>
          <w:color w:val="6E6158"/>
        </w:rPr>
        <w:t>committee.</w:t>
      </w:r>
      <w:r>
        <w:rPr>
          <w:color w:val="6E6158"/>
          <w:spacing w:val="26"/>
        </w:rPr>
        <w:t> </w:t>
      </w:r>
      <w:r>
        <w:rPr>
          <w:color w:val="6E6158"/>
        </w:rPr>
        <w:t>As</w:t>
      </w:r>
      <w:r>
        <w:rPr>
          <w:color w:val="6E6158"/>
          <w:spacing w:val="26"/>
        </w:rPr>
        <w:t> </w:t>
      </w:r>
      <w:r>
        <w:rPr>
          <w:color w:val="6E6158"/>
        </w:rPr>
        <w:t>part</w:t>
      </w:r>
      <w:r>
        <w:rPr>
          <w:color w:val="6E6158"/>
          <w:spacing w:val="26"/>
        </w:rPr>
        <w:t> </w:t>
      </w:r>
      <w:r>
        <w:rPr>
          <w:color w:val="6E6158"/>
        </w:rPr>
        <w:t>of</w:t>
      </w:r>
      <w:r>
        <w:rPr>
          <w:color w:val="6E6158"/>
          <w:spacing w:val="26"/>
        </w:rPr>
        <w:t> </w:t>
      </w:r>
      <w:r>
        <w:rPr>
          <w:color w:val="6E6158"/>
        </w:rPr>
        <w:t>her</w:t>
      </w:r>
      <w:r>
        <w:rPr>
          <w:color w:val="6E6158"/>
          <w:spacing w:val="26"/>
        </w:rPr>
        <w:t> </w:t>
      </w:r>
      <w:r>
        <w:rPr>
          <w:color w:val="6E6158"/>
        </w:rPr>
        <w:t>service</w:t>
      </w:r>
      <w:r>
        <w:rPr>
          <w:color w:val="6E6158"/>
          <w:spacing w:val="26"/>
        </w:rPr>
        <w:t> </w:t>
      </w:r>
      <w:r>
        <w:rPr>
          <w:color w:val="6E6158"/>
        </w:rPr>
        <w:t>project</w:t>
      </w:r>
      <w:r>
        <w:rPr>
          <w:color w:val="6E6158"/>
          <w:spacing w:val="26"/>
        </w:rPr>
        <w:t> </w:t>
      </w:r>
      <w:r>
        <w:rPr>
          <w:color w:val="6E6158"/>
        </w:rPr>
        <w:t>through</w:t>
      </w:r>
      <w:r>
        <w:rPr>
          <w:color w:val="6E6158"/>
          <w:spacing w:val="26"/>
        </w:rPr>
        <w:t> </w:t>
      </w:r>
      <w:r>
        <w:rPr>
          <w:color w:val="6E6158"/>
        </w:rPr>
        <w:t>the</w:t>
      </w:r>
      <w:r>
        <w:rPr>
          <w:color w:val="6E6158"/>
          <w:spacing w:val="26"/>
        </w:rPr>
        <w:t> </w:t>
      </w:r>
      <w:r>
        <w:rPr>
          <w:color w:val="6E6158"/>
        </w:rPr>
        <w:t>Idaho</w:t>
      </w:r>
      <w:r>
        <w:rPr>
          <w:color w:val="6E6158"/>
          <w:spacing w:val="26"/>
        </w:rPr>
        <w:t> </w:t>
      </w:r>
      <w:r>
        <w:rPr>
          <w:color w:val="6E6158"/>
        </w:rPr>
        <w:t>Academy</w:t>
      </w:r>
      <w:r>
        <w:rPr>
          <w:color w:val="6E6158"/>
          <w:spacing w:val="26"/>
        </w:rPr>
        <w:t> </w:t>
      </w:r>
      <w:r>
        <w:rPr>
          <w:color w:val="6E6158"/>
        </w:rPr>
        <w:t>of</w:t>
      </w:r>
    </w:p>
    <w:p>
      <w:pPr>
        <w:pStyle w:val="BodyText"/>
        <w:spacing w:line="297" w:lineRule="auto" w:before="1"/>
        <w:ind w:left="99" w:right="375"/>
      </w:pPr>
      <w:r>
        <w:rPr>
          <w:color w:val="6E6158"/>
        </w:rPr>
        <w:t>Leadership for Lawyers, she is developing Coeur Foundations, a community-focused </w:t>
      </w:r>
      <w:r>
        <w:rPr>
          <w:color w:val="6E6158"/>
        </w:rPr>
        <w:t>initiative</w:t>
      </w:r>
      <w:r>
        <w:rPr>
          <w:color w:val="6E6158"/>
          <w:spacing w:val="40"/>
        </w:rPr>
        <w:t> </w:t>
      </w:r>
      <w:r>
        <w:rPr>
          <w:color w:val="6E6158"/>
        </w:rPr>
        <w:t>that helps small and mid-sized nonprofits in North Idaho build strong legal and governance</w:t>
      </w:r>
      <w:r>
        <w:rPr>
          <w:color w:val="6E6158"/>
          <w:spacing w:val="40"/>
        </w:rPr>
        <w:t> </w:t>
      </w:r>
      <w:r>
        <w:rPr>
          <w:color w:val="6E6158"/>
        </w:rPr>
        <w:t>infrastructure,</w:t>
      </w:r>
      <w:r>
        <w:rPr>
          <w:color w:val="6E6158"/>
          <w:spacing w:val="40"/>
        </w:rPr>
        <w:t> </w:t>
      </w:r>
      <w:r>
        <w:rPr>
          <w:color w:val="6E6158"/>
        </w:rPr>
        <w:t>enabling</w:t>
      </w:r>
      <w:r>
        <w:rPr>
          <w:color w:val="6E6158"/>
          <w:spacing w:val="40"/>
        </w:rPr>
        <w:t> </w:t>
      </w:r>
      <w:r>
        <w:rPr>
          <w:color w:val="6E6158"/>
        </w:rPr>
        <w:t>effective</w:t>
      </w:r>
      <w:r>
        <w:rPr>
          <w:color w:val="6E6158"/>
          <w:spacing w:val="40"/>
        </w:rPr>
        <w:t> </w:t>
      </w:r>
      <w:r>
        <w:rPr>
          <w:color w:val="6E6158"/>
        </w:rPr>
        <w:t>leadership</w:t>
      </w:r>
      <w:r>
        <w:rPr>
          <w:color w:val="6E6158"/>
          <w:spacing w:val="40"/>
        </w:rPr>
        <w:t>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long-term</w:t>
      </w:r>
      <w:r>
        <w:rPr>
          <w:color w:val="6E6158"/>
          <w:spacing w:val="40"/>
        </w:rPr>
        <w:t> </w:t>
      </w:r>
      <w:r>
        <w:rPr>
          <w:color w:val="6E6158"/>
        </w:rPr>
        <w:t>organizational</w:t>
      </w:r>
      <w:r>
        <w:rPr>
          <w:color w:val="6E6158"/>
          <w:spacing w:val="40"/>
        </w:rPr>
        <w:t> </w:t>
      </w:r>
      <w:r>
        <w:rPr>
          <w:color w:val="6E6158"/>
        </w:rPr>
        <w:t>stability.</w:t>
      </w:r>
    </w:p>
    <w:p>
      <w:pPr>
        <w:pStyle w:val="BodyText"/>
        <w:spacing w:line="292" w:lineRule="auto" w:before="191"/>
        <w:ind w:left="99" w:right="372"/>
      </w:pPr>
      <w:r>
        <w:rPr>
          <w:color w:val="6E6158"/>
        </w:rPr>
        <w:t>Outside of her practice, Lindsey enjoys CrossFit, golf, and gardening, and tries to keep up with</w:t>
      </w:r>
      <w:r>
        <w:rPr>
          <w:color w:val="6E6158"/>
          <w:spacing w:val="40"/>
        </w:rPr>
        <w:t> </w:t>
      </w:r>
      <w:r>
        <w:rPr>
          <w:color w:val="6E6158"/>
        </w:rPr>
        <w:t>her sons.</w:t>
      </w:r>
    </w:p>
    <w:p>
      <w:pPr>
        <w:pStyle w:val="Heading1"/>
        <w:spacing w:before="163"/>
      </w:pPr>
      <w:r>
        <w:rPr>
          <w:color w:val="FF8100"/>
          <w:spacing w:val="-2"/>
        </w:rPr>
        <w:t>EDUCATION</w:t>
      </w:r>
    </w:p>
    <w:p>
      <w:pPr>
        <w:pStyle w:val="BodyText"/>
        <w:spacing w:line="427" w:lineRule="auto" w:before="146"/>
        <w:ind w:left="351" w:right="333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1060346</wp:posOffset>
                </wp:positionH>
                <wp:positionV relativeFrom="paragraph">
                  <wp:posOffset>157708</wp:posOffset>
                </wp:positionV>
                <wp:extent cx="20955" cy="20955"/>
                <wp:effectExtent l="0" t="0" r="0" b="0"/>
                <wp:wrapNone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1801pt;width:1.65pt;height:1.65pt;mso-position-horizontal-relative:page;mso-position-vertical-relative:paragraph;z-index:15729152" id="docshape11" coordorigin="1670,248" coordsize="33,33" path="m1691,281l1682,281,1678,279,1671,273,1670,269,1670,260,1671,256,1678,250,1682,248,1691,248,1694,250,1701,256,1702,260,1702,265,1702,269,1701,273,1694,279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1060346</wp:posOffset>
                </wp:positionH>
                <wp:positionV relativeFrom="paragraph">
                  <wp:posOffset>416074</wp:posOffset>
                </wp:positionV>
                <wp:extent cx="20955" cy="20955"/>
                <wp:effectExtent l="0" t="0" r="0" b="0"/>
                <wp:wrapNone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2.761753pt;width:1.65pt;height:1.65pt;mso-position-horizontal-relative:page;mso-position-vertical-relative:paragraph;z-index:15729664" id="docshape12" coordorigin="1670,655" coordsize="33,33" path="m1691,688l1682,688,1678,686,1671,680,1670,676,1670,667,1671,663,1678,657,1682,655,1691,655,1694,657,1701,663,1702,667,1702,672,1702,676,1701,680,1694,686,1691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J.D., University of Southern California Gould School of </w:t>
      </w:r>
      <w:r>
        <w:rPr>
          <w:color w:val="6E6158"/>
        </w:rPr>
        <w:t>Law</w:t>
      </w:r>
      <w:r>
        <w:rPr>
          <w:color w:val="6E6158"/>
        </w:rPr>
        <w:t> B.A., University of California, Los Angeles</w:t>
      </w:r>
    </w:p>
    <w:p>
      <w:pPr>
        <w:pStyle w:val="Heading1"/>
        <w:spacing w:before="154"/>
      </w:pPr>
      <w:r>
        <w:rPr>
          <w:color w:val="FF8100"/>
        </w:rPr>
        <w:t>AREAS</w:t>
      </w:r>
      <w:r>
        <w:rPr>
          <w:color w:val="FF8100"/>
          <w:spacing w:val="6"/>
        </w:rPr>
        <w:t> </w:t>
      </w:r>
      <w:r>
        <w:rPr>
          <w:color w:val="FF8100"/>
        </w:rPr>
        <w:t>OF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PRACTICE</w:t>
      </w:r>
    </w:p>
    <w:p>
      <w:pPr>
        <w:pStyle w:val="Heading1"/>
        <w:spacing w:after="0"/>
        <w:sectPr>
          <w:type w:val="continuous"/>
          <w:pgSz w:w="12240" w:h="15840"/>
          <w:pgMar w:top="560" w:bottom="280" w:left="1440" w:right="1440"/>
        </w:sectPr>
      </w:pPr>
    </w:p>
    <w:p>
      <w:pPr>
        <w:pStyle w:val="BodyText"/>
        <w:spacing w:before="83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1060346</wp:posOffset>
                </wp:positionH>
                <wp:positionV relativeFrom="paragraph">
                  <wp:posOffset>117602</wp:posOffset>
                </wp:positionV>
                <wp:extent cx="20955" cy="20955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9.260010pt;width:1.65pt;height:1.65pt;mso-position-horizontal-relative:page;mso-position-vertical-relative:paragraph;z-index:15730176" id="docshape13" coordorigin="1670,185" coordsize="33,33" path="m1691,218l1682,218,1678,216,1671,210,1670,206,1670,197,1671,193,1678,187,1682,185,1691,185,1694,187,1701,193,1702,197,1702,201,1702,206,1701,210,1694,216,1691,21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Business</w:t>
      </w:r>
      <w:r>
        <w:rPr>
          <w:color w:val="6E6158"/>
          <w:spacing w:val="15"/>
        </w:rPr>
        <w:t> </w:t>
      </w:r>
      <w:r>
        <w:rPr>
          <w:color w:val="6E6158"/>
          <w:spacing w:val="-2"/>
        </w:rPr>
        <w:t>Litigation</w:t>
      </w:r>
    </w:p>
    <w:p>
      <w:pPr>
        <w:pStyle w:val="BodyText"/>
        <w:spacing w:before="41"/>
        <w:rPr>
          <w:sz w:val="24"/>
        </w:rPr>
      </w:pPr>
    </w:p>
    <w:p>
      <w:pPr>
        <w:pStyle w:val="Heading1"/>
      </w:pPr>
      <w:r>
        <w:rPr>
          <w:color w:val="FF8100"/>
        </w:rPr>
        <w:t>REPRESENTATIVE</w:t>
      </w:r>
      <w:r>
        <w:rPr>
          <w:color w:val="FF8100"/>
          <w:spacing w:val="19"/>
        </w:rPr>
        <w:t> </w:t>
      </w:r>
      <w:r>
        <w:rPr>
          <w:color w:val="FF8100"/>
          <w:spacing w:val="-2"/>
        </w:rPr>
        <w:t>MATTERS</w:t>
      </w:r>
    </w:p>
    <w:p>
      <w:pPr>
        <w:pStyle w:val="BodyText"/>
        <w:spacing w:line="297" w:lineRule="auto" w:before="147"/>
        <w:ind w:left="351" w:right="37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1060346</wp:posOffset>
                </wp:positionH>
                <wp:positionV relativeFrom="paragraph">
                  <wp:posOffset>338831</wp:posOffset>
                </wp:positionV>
                <wp:extent cx="20955" cy="20955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6.679649pt;width:1.65pt;height:1.65pt;mso-position-horizontal-relative:page;mso-position-vertical-relative:paragraph;z-index:15730688" id="docshape14" coordorigin="1670,534" coordsize="33,33" path="m1691,566l1682,566,1678,565,1671,558,1670,554,1670,545,1671,542,1678,535,1682,534,1691,534,1694,535,1701,542,1702,545,1702,550,1702,554,1701,558,1694,565,1691,56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Represented national and regional real estate brokerages, insurance brokerages, and individual professionals in high-exposure errors and omissions and professional liability </w:t>
      </w:r>
      <w:r>
        <w:rPr>
          <w:color w:val="6E6158"/>
        </w:rPr>
        <w:t>matters,</w:t>
      </w:r>
      <w:r>
        <w:rPr>
          <w:color w:val="6E6158"/>
          <w:spacing w:val="40"/>
        </w:rPr>
        <w:t> </w:t>
      </w:r>
      <w:r>
        <w:rPr>
          <w:color w:val="6E6158"/>
        </w:rPr>
        <w:t>including pre-litigation risk assessment, coverage analysis, and trial defense.</w:t>
      </w:r>
    </w:p>
    <w:p>
      <w:pPr>
        <w:pStyle w:val="BodyText"/>
        <w:spacing w:line="292" w:lineRule="auto" w:before="118"/>
        <w:ind w:left="351" w:right="16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1060346</wp:posOffset>
                </wp:positionH>
                <wp:positionV relativeFrom="paragraph">
                  <wp:posOffset>227436</wp:posOffset>
                </wp:positionV>
                <wp:extent cx="20955" cy="20955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7.908354pt;width:1.65pt;height:1.65pt;mso-position-horizontal-relative:page;mso-position-vertical-relative:paragraph;z-index:15731200" id="docshape15" coordorigin="1670,358" coordsize="33,33" path="m1691,391l1682,391,1678,389,1671,383,1670,379,1670,370,1671,366,1678,360,1682,358,1691,358,1694,360,1701,366,1702,370,1702,374,1702,379,1701,383,1694,389,1691,39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Defended corporate clients in multi-million-dollar commercial real estate disputes </w:t>
      </w:r>
      <w:r>
        <w:rPr>
          <w:color w:val="6E6158"/>
        </w:rPr>
        <w:t>involving</w:t>
      </w:r>
      <w:r>
        <w:rPr>
          <w:color w:val="6E6158"/>
          <w:spacing w:val="40"/>
        </w:rPr>
        <w:t> </w:t>
      </w:r>
      <w:r>
        <w:rPr>
          <w:color w:val="6E6158"/>
        </w:rPr>
        <w:t>complex causation, insurance allocation, and cross-jurisdictional issues.</w:t>
      </w:r>
    </w:p>
    <w:p>
      <w:pPr>
        <w:pStyle w:val="BodyText"/>
        <w:spacing w:line="292" w:lineRule="auto" w:before="131"/>
        <w:ind w:left="351" w:right="16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1060346</wp:posOffset>
                </wp:positionH>
                <wp:positionV relativeFrom="paragraph">
                  <wp:posOffset>235954</wp:posOffset>
                </wp:positionV>
                <wp:extent cx="20955" cy="20955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79128pt;width:1.65pt;height:1.65pt;mso-position-horizontal-relative:page;mso-position-vertical-relative:paragraph;z-index:15731712" id="docshape16" coordorigin="1670,372" coordsize="33,33" path="m1691,404l1682,404,1678,403,1671,396,1670,392,1670,383,1671,380,1678,373,1682,372,1691,372,1694,373,1701,380,1702,383,1702,388,1702,392,1701,396,1694,403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Served as defense counsel for a privately owned public utility in San Francisco, </w:t>
      </w:r>
      <w:r>
        <w:rPr>
          <w:color w:val="6E6158"/>
        </w:rPr>
        <w:t>managing</w:t>
      </w:r>
      <w:r>
        <w:rPr>
          <w:color w:val="6E6158"/>
          <w:spacing w:val="40"/>
        </w:rPr>
        <w:t> </w:t>
      </w:r>
      <w:r>
        <w:rPr>
          <w:color w:val="6E6158"/>
        </w:rPr>
        <w:t>dozens of coordinated property damage and personal injury claims.</w:t>
      </w:r>
    </w:p>
    <w:p>
      <w:pPr>
        <w:pStyle w:val="BodyText"/>
        <w:spacing w:line="292" w:lineRule="auto" w:before="124"/>
        <w:ind w:left="351" w:right="57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1060346</wp:posOffset>
                </wp:positionH>
                <wp:positionV relativeFrom="paragraph">
                  <wp:posOffset>231053</wp:posOffset>
                </wp:positionV>
                <wp:extent cx="20955" cy="20955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193161pt;width:1.65pt;height:1.65pt;mso-position-horizontal-relative:page;mso-position-vertical-relative:paragraph;z-index:15732224" id="docshape17" coordorigin="1670,364" coordsize="33,33" path="m1691,396l1682,396,1678,395,1671,388,1670,385,1670,376,1671,372,1678,365,1682,364,1691,364,1694,365,1701,372,1702,376,1702,380,1702,385,1701,388,1694,395,1691,39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Obtained</w:t>
      </w:r>
      <w:r>
        <w:rPr>
          <w:color w:val="6E6158"/>
          <w:spacing w:val="13"/>
        </w:rPr>
        <w:t> </w:t>
      </w:r>
      <w:r>
        <w:rPr>
          <w:color w:val="6E6158"/>
        </w:rPr>
        <w:t>summary</w:t>
      </w:r>
      <w:r>
        <w:rPr>
          <w:color w:val="6E6158"/>
          <w:spacing w:val="13"/>
        </w:rPr>
        <w:t> </w:t>
      </w:r>
      <w:r>
        <w:rPr>
          <w:color w:val="6E6158"/>
        </w:rPr>
        <w:t>judgment</w:t>
      </w:r>
      <w:r>
        <w:rPr>
          <w:color w:val="6E6158"/>
          <w:spacing w:val="13"/>
        </w:rPr>
        <w:t> </w:t>
      </w:r>
      <w:r>
        <w:rPr>
          <w:color w:val="6E6158"/>
        </w:rPr>
        <w:t>for</w:t>
      </w:r>
      <w:r>
        <w:rPr>
          <w:color w:val="6E6158"/>
          <w:spacing w:val="13"/>
        </w:rPr>
        <w:t> </w:t>
      </w:r>
      <w:r>
        <w:rPr>
          <w:color w:val="6E6158"/>
        </w:rPr>
        <w:t>a</w:t>
      </w:r>
      <w:r>
        <w:rPr>
          <w:color w:val="6E6158"/>
          <w:spacing w:val="13"/>
        </w:rPr>
        <w:t> </w:t>
      </w:r>
      <w:r>
        <w:rPr>
          <w:color w:val="6E6158"/>
        </w:rPr>
        <w:t>national</w:t>
      </w:r>
      <w:r>
        <w:rPr>
          <w:color w:val="6E6158"/>
          <w:spacing w:val="13"/>
        </w:rPr>
        <w:t> </w:t>
      </w:r>
      <w:r>
        <w:rPr>
          <w:color w:val="6E6158"/>
        </w:rPr>
        <w:t>real</w:t>
      </w:r>
      <w:r>
        <w:rPr>
          <w:color w:val="6E6158"/>
          <w:spacing w:val="13"/>
        </w:rPr>
        <w:t> </w:t>
      </w:r>
      <w:r>
        <w:rPr>
          <w:color w:val="6E6158"/>
        </w:rPr>
        <w:t>estate</w:t>
      </w:r>
      <w:r>
        <w:rPr>
          <w:color w:val="6E6158"/>
          <w:spacing w:val="13"/>
        </w:rPr>
        <w:t> </w:t>
      </w:r>
      <w:r>
        <w:rPr>
          <w:color w:val="6E6158"/>
        </w:rPr>
        <w:t>brokerage</w:t>
      </w:r>
      <w:r>
        <w:rPr>
          <w:color w:val="6E6158"/>
          <w:spacing w:val="13"/>
        </w:rPr>
        <w:t> </w:t>
      </w:r>
      <w:r>
        <w:rPr>
          <w:color w:val="6E6158"/>
        </w:rPr>
        <w:t>and</w:t>
      </w:r>
      <w:r>
        <w:rPr>
          <w:color w:val="6E6158"/>
          <w:spacing w:val="13"/>
        </w:rPr>
        <w:t> </w:t>
      </w:r>
      <w:r>
        <w:rPr>
          <w:color w:val="6E6158"/>
        </w:rPr>
        <w:t>its</w:t>
      </w:r>
      <w:r>
        <w:rPr>
          <w:color w:val="6E6158"/>
          <w:spacing w:val="13"/>
        </w:rPr>
        <w:t> </w:t>
      </w:r>
      <w:r>
        <w:rPr>
          <w:color w:val="6E6158"/>
        </w:rPr>
        <w:t>agent</w:t>
      </w:r>
      <w:r>
        <w:rPr>
          <w:color w:val="6E6158"/>
          <w:spacing w:val="13"/>
        </w:rPr>
        <w:t> </w:t>
      </w:r>
      <w:r>
        <w:rPr>
          <w:color w:val="6E6158"/>
        </w:rPr>
        <w:t>in</w:t>
      </w:r>
      <w:r>
        <w:rPr>
          <w:color w:val="6E6158"/>
          <w:spacing w:val="13"/>
        </w:rPr>
        <w:t> </w:t>
      </w:r>
      <w:r>
        <w:rPr>
          <w:color w:val="6E6158"/>
        </w:rPr>
        <w:t>a</w:t>
      </w:r>
      <w:r>
        <w:rPr>
          <w:color w:val="6E6158"/>
          <w:spacing w:val="13"/>
        </w:rPr>
        <w:t> </w:t>
      </w:r>
      <w:r>
        <w:rPr>
          <w:color w:val="6E6158"/>
        </w:rPr>
        <w:t>non-disclosure action in Alameda County, California.</w:t>
      </w:r>
    </w:p>
    <w:p>
      <w:pPr>
        <w:pStyle w:val="BodyText"/>
        <w:spacing w:line="292" w:lineRule="auto" w:before="131"/>
        <w:ind w:left="351" w:right="37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1060346</wp:posOffset>
                </wp:positionH>
                <wp:positionV relativeFrom="paragraph">
                  <wp:posOffset>235763</wp:posOffset>
                </wp:positionV>
                <wp:extent cx="20955" cy="20955"/>
                <wp:effectExtent l="0" t="0" r="0" b="0"/>
                <wp:wrapNone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64022pt;width:1.65pt;height:1.65pt;mso-position-horizontal-relative:page;mso-position-vertical-relative:paragraph;z-index:15732736" id="docshape18" coordorigin="1670,371" coordsize="33,33" path="m1691,404l1682,404,1678,402,1671,396,1670,392,1670,383,1671,379,1678,373,1682,371,1691,371,1694,373,1701,379,1702,383,1702,388,1702,392,1701,396,1694,402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Defended a corporate executive on appeal in a breach of contract action </w:t>
      </w:r>
      <w:r>
        <w:rPr>
          <w:color w:val="6E6158"/>
        </w:rPr>
        <w:t>involving international jurisdiction and enforcement of foreign judgments.</w:t>
      </w:r>
    </w:p>
    <w:p>
      <w:pPr>
        <w:pStyle w:val="BodyText"/>
        <w:spacing w:line="302" w:lineRule="auto" w:before="123"/>
        <w:ind w:left="351" w:right="37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1060346</wp:posOffset>
                </wp:positionH>
                <wp:positionV relativeFrom="paragraph">
                  <wp:posOffset>236028</wp:posOffset>
                </wp:positionV>
                <wp:extent cx="20955" cy="20955"/>
                <wp:effectExtent l="0" t="0" r="0" b="0"/>
                <wp:wrapNone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849pt;width:1.65pt;height:1.65pt;mso-position-horizontal-relative:page;mso-position-vertical-relative:paragraph;z-index:15733248" id="docshape19" coordorigin="1670,372" coordsize="33,33" path="m1691,404l1682,404,1678,403,1671,396,1670,392,1670,383,1671,380,1678,373,1682,372,1691,372,1694,373,1701,380,1702,383,1702,388,1702,392,1701,396,1694,403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Represented</w:t>
      </w:r>
      <w:r>
        <w:rPr>
          <w:color w:val="6E6158"/>
          <w:spacing w:val="14"/>
        </w:rPr>
        <w:t> </w:t>
      </w:r>
      <w:r>
        <w:rPr>
          <w:color w:val="6E6158"/>
        </w:rPr>
        <w:t>a</w:t>
      </w:r>
      <w:r>
        <w:rPr>
          <w:color w:val="6E6158"/>
          <w:spacing w:val="14"/>
        </w:rPr>
        <w:t> </w:t>
      </w:r>
      <w:r>
        <w:rPr>
          <w:color w:val="6E6158"/>
        </w:rPr>
        <w:t>national</w:t>
      </w:r>
      <w:r>
        <w:rPr>
          <w:color w:val="6E6158"/>
          <w:spacing w:val="14"/>
        </w:rPr>
        <w:t> </w:t>
      </w:r>
      <w:r>
        <w:rPr>
          <w:color w:val="6E6158"/>
        </w:rPr>
        <w:t>real</w:t>
      </w:r>
      <w:r>
        <w:rPr>
          <w:color w:val="6E6158"/>
          <w:spacing w:val="14"/>
        </w:rPr>
        <w:t> </w:t>
      </w:r>
      <w:r>
        <w:rPr>
          <w:color w:val="6E6158"/>
        </w:rPr>
        <w:t>estate</w:t>
      </w:r>
      <w:r>
        <w:rPr>
          <w:color w:val="6E6158"/>
          <w:spacing w:val="14"/>
        </w:rPr>
        <w:t> </w:t>
      </w:r>
      <w:r>
        <w:rPr>
          <w:color w:val="6E6158"/>
        </w:rPr>
        <w:t>brokerage</w:t>
      </w:r>
      <w:r>
        <w:rPr>
          <w:color w:val="6E6158"/>
          <w:spacing w:val="14"/>
        </w:rPr>
        <w:t> </w:t>
      </w:r>
      <w:r>
        <w:rPr>
          <w:color w:val="6E6158"/>
        </w:rPr>
        <w:t>and</w:t>
      </w:r>
      <w:r>
        <w:rPr>
          <w:color w:val="6E6158"/>
          <w:spacing w:val="14"/>
        </w:rPr>
        <w:t> </w:t>
      </w:r>
      <w:r>
        <w:rPr>
          <w:color w:val="6E6158"/>
        </w:rPr>
        <w:t>a</w:t>
      </w:r>
      <w:r>
        <w:rPr>
          <w:color w:val="6E6158"/>
          <w:spacing w:val="14"/>
        </w:rPr>
        <w:t> </w:t>
      </w:r>
      <w:r>
        <w:rPr>
          <w:color w:val="6E6158"/>
        </w:rPr>
        <w:t>high-profile</w:t>
      </w:r>
      <w:r>
        <w:rPr>
          <w:color w:val="6E6158"/>
          <w:spacing w:val="14"/>
        </w:rPr>
        <w:t> </w:t>
      </w:r>
      <w:r>
        <w:rPr>
          <w:color w:val="6E6158"/>
        </w:rPr>
        <w:t>individual</w:t>
      </w:r>
      <w:r>
        <w:rPr>
          <w:color w:val="6E6158"/>
          <w:spacing w:val="14"/>
        </w:rPr>
        <w:t> </w:t>
      </w:r>
      <w:r>
        <w:rPr>
          <w:color w:val="6E6158"/>
        </w:rPr>
        <w:t>agent</w:t>
      </w:r>
      <w:r>
        <w:rPr>
          <w:color w:val="6E6158"/>
          <w:spacing w:val="14"/>
        </w:rPr>
        <w:t> </w:t>
      </w:r>
      <w:r>
        <w:rPr>
          <w:color w:val="6E6158"/>
        </w:rPr>
        <w:t>in</w:t>
      </w:r>
      <w:r>
        <w:rPr>
          <w:color w:val="6E6158"/>
          <w:spacing w:val="14"/>
        </w:rPr>
        <w:t> </w:t>
      </w:r>
      <w:r>
        <w:rPr>
          <w:color w:val="6E6158"/>
        </w:rPr>
        <w:t>a</w:t>
      </w:r>
      <w:r>
        <w:rPr>
          <w:color w:val="6E6158"/>
          <w:spacing w:val="14"/>
        </w:rPr>
        <w:t> </w:t>
      </w:r>
      <w:r>
        <w:rPr>
          <w:color w:val="6E6158"/>
        </w:rPr>
        <w:t>multi-million-dollar commission dispute.</w:t>
      </w:r>
    </w:p>
    <w:p>
      <w:pPr>
        <w:pStyle w:val="BodyText"/>
        <w:spacing w:line="283" w:lineRule="auto" w:before="103"/>
        <w:ind w:left="351" w:right="16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1060346</wp:posOffset>
                </wp:positionH>
                <wp:positionV relativeFrom="paragraph">
                  <wp:posOffset>317382</wp:posOffset>
                </wp:positionV>
                <wp:extent cx="20955" cy="20955"/>
                <wp:effectExtent l="0" t="0" r="0" b="0"/>
                <wp:wrapNone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4.990747pt;width:1.65pt;height:1.65pt;mso-position-horizontal-relative:page;mso-position-vertical-relative:paragraph;z-index:15733760" id="docshape20" coordorigin="1670,500" coordsize="33,33" path="m1691,532l1682,532,1678,531,1671,524,1670,521,1670,512,1671,508,1678,501,1682,500,1691,500,1694,501,1701,508,1702,512,1702,516,1702,521,1701,524,1694,531,1691,53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Acted as liaison counsel for insurer defendants in </w:t>
      </w:r>
      <w:r>
        <w:rPr>
          <w:i/>
          <w:color w:val="6E6158"/>
          <w:sz w:val="20"/>
        </w:rPr>
        <w:t>Montrose</w:t>
      </w:r>
      <w:r>
        <w:rPr>
          <w:i/>
          <w:color w:val="6E6158"/>
          <w:spacing w:val="-3"/>
          <w:sz w:val="20"/>
        </w:rPr>
        <w:t> </w:t>
      </w:r>
      <w:r>
        <w:rPr>
          <w:i/>
          <w:color w:val="6E6158"/>
          <w:sz w:val="20"/>
        </w:rPr>
        <w:t>v.</w:t>
      </w:r>
      <w:r>
        <w:rPr>
          <w:i/>
          <w:color w:val="6E6158"/>
          <w:spacing w:val="-3"/>
          <w:sz w:val="20"/>
        </w:rPr>
        <w:t> </w:t>
      </w:r>
      <w:r>
        <w:rPr>
          <w:i/>
          <w:color w:val="6E6158"/>
          <w:sz w:val="20"/>
        </w:rPr>
        <w:t>Canadian</w:t>
      </w:r>
      <w:r>
        <w:rPr>
          <w:i/>
          <w:color w:val="6E6158"/>
          <w:spacing w:val="-3"/>
          <w:sz w:val="20"/>
        </w:rPr>
        <w:t> </w:t>
      </w:r>
      <w:r>
        <w:rPr>
          <w:i/>
          <w:color w:val="6E6158"/>
          <w:sz w:val="20"/>
        </w:rPr>
        <w:t>Universal</w:t>
      </w:r>
      <w:r>
        <w:rPr>
          <w:i/>
          <w:color w:val="6E6158"/>
          <w:spacing w:val="-3"/>
          <w:sz w:val="20"/>
        </w:rPr>
        <w:t> </w:t>
      </w:r>
      <w:r>
        <w:rPr>
          <w:i/>
          <w:color w:val="6E6158"/>
          <w:sz w:val="20"/>
        </w:rPr>
        <w:t>Insurance</w:t>
      </w:r>
      <w:r>
        <w:rPr>
          <w:i/>
          <w:color w:val="6E6158"/>
          <w:sz w:val="20"/>
        </w:rPr>
        <w:t> Co., </w:t>
      </w:r>
      <w:r>
        <w:rPr>
          <w:color w:val="6E6158"/>
        </w:rPr>
        <w:t>a pollution allocation matter decided by the California Supreme Court addressing horizontal versus vertical allocation at the excess insurance level.</w:t>
      </w:r>
    </w:p>
    <w:p>
      <w:pPr>
        <w:pStyle w:val="BodyText"/>
        <w:spacing w:before="8"/>
        <w:rPr>
          <w:sz w:val="24"/>
        </w:rPr>
      </w:pPr>
    </w:p>
    <w:p>
      <w:pPr>
        <w:pStyle w:val="Heading1"/>
      </w:pPr>
      <w:r>
        <w:rPr>
          <w:color w:val="FF8100"/>
        </w:rPr>
        <w:t>ARTICLES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PRESENTATIONS</w:t>
      </w:r>
    </w:p>
    <w:p>
      <w:pPr>
        <w:pStyle w:val="BodyText"/>
        <w:spacing w:line="420" w:lineRule="auto" w:before="147"/>
        <w:ind w:left="351" w:right="37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1060346</wp:posOffset>
                </wp:positionH>
                <wp:positionV relativeFrom="paragraph">
                  <wp:posOffset>152760</wp:posOffset>
                </wp:positionV>
                <wp:extent cx="20955" cy="20955"/>
                <wp:effectExtent l="0" t="0" r="0" b="0"/>
                <wp:wrapNone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028388pt;width:1.65pt;height:1.65pt;mso-position-horizontal-relative:page;mso-position-vertical-relative:paragraph;z-index:15734272" id="docshape21" coordorigin="1670,241" coordsize="33,33" path="m1691,273l1682,273,1678,272,1671,265,1670,261,1670,252,1671,249,1678,242,1682,241,1691,241,1694,242,1701,249,1702,252,1702,257,1702,261,1701,265,1694,272,1691,27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1060346</wp:posOffset>
                </wp:positionH>
                <wp:positionV relativeFrom="paragraph">
                  <wp:posOffset>416294</wp:posOffset>
                </wp:positionV>
                <wp:extent cx="20955" cy="20955"/>
                <wp:effectExtent l="0" t="0" r="0" b="0"/>
                <wp:wrapNone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2.779095pt;width:1.65pt;height:1.65pt;mso-position-horizontal-relative:page;mso-position-vertical-relative:paragraph;z-index:15734784" id="docshape22" coordorigin="1670,656" coordsize="33,33" path="m1691,688l1682,688,1678,687,1671,680,1670,676,1670,667,1671,664,1678,657,1682,656,1691,656,1694,657,1701,664,1702,667,1702,672,1702,676,1701,680,1694,687,1691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Contra Costa Association of Realtors – Risk Management Seminar presentation, 2019-</w:t>
      </w:r>
      <w:r>
        <w:rPr>
          <w:color w:val="6E6158"/>
        </w:rPr>
        <w:t>2020</w:t>
      </w:r>
      <w:r>
        <w:rPr>
          <w:color w:val="6E6158"/>
          <w:spacing w:val="40"/>
        </w:rPr>
        <w:t> </w:t>
      </w:r>
      <w:r>
        <w:rPr>
          <w:color w:val="6E6158"/>
        </w:rPr>
        <w:t>North</w:t>
      </w:r>
      <w:r>
        <w:rPr>
          <w:color w:val="6E6158"/>
          <w:spacing w:val="23"/>
        </w:rPr>
        <w:t> </w:t>
      </w:r>
      <w:r>
        <w:rPr>
          <w:color w:val="6E6158"/>
        </w:rPr>
        <w:t>Idaho</w:t>
      </w:r>
      <w:r>
        <w:rPr>
          <w:color w:val="6E6158"/>
          <w:spacing w:val="23"/>
        </w:rPr>
        <w:t> </w:t>
      </w:r>
      <w:r>
        <w:rPr>
          <w:color w:val="6E6158"/>
        </w:rPr>
        <w:t>College</w:t>
      </w:r>
      <w:r>
        <w:rPr>
          <w:color w:val="6E6158"/>
          <w:spacing w:val="23"/>
        </w:rPr>
        <w:t> </w:t>
      </w:r>
      <w:r>
        <w:rPr>
          <w:color w:val="6E6158"/>
        </w:rPr>
        <w:t>Nursing</w:t>
      </w:r>
      <w:r>
        <w:rPr>
          <w:color w:val="6E6158"/>
          <w:spacing w:val="23"/>
        </w:rPr>
        <w:t> </w:t>
      </w:r>
      <w:r>
        <w:rPr>
          <w:color w:val="6E6158"/>
        </w:rPr>
        <w:t>Program</w:t>
      </w:r>
      <w:r>
        <w:rPr>
          <w:color w:val="6E6158"/>
          <w:spacing w:val="23"/>
        </w:rPr>
        <w:t> </w:t>
      </w:r>
      <w:r>
        <w:rPr>
          <w:color w:val="6E6158"/>
        </w:rPr>
        <w:t>–</w:t>
      </w:r>
      <w:r>
        <w:rPr>
          <w:color w:val="6E6158"/>
          <w:spacing w:val="23"/>
        </w:rPr>
        <w:t> </w:t>
      </w:r>
      <w:r>
        <w:rPr>
          <w:color w:val="6E6158"/>
        </w:rPr>
        <w:t>guest</w:t>
      </w:r>
      <w:r>
        <w:rPr>
          <w:color w:val="6E6158"/>
          <w:spacing w:val="23"/>
        </w:rPr>
        <w:t> </w:t>
      </w:r>
      <w:r>
        <w:rPr>
          <w:color w:val="6E6158"/>
        </w:rPr>
        <w:t>lecturer</w:t>
      </w:r>
      <w:r>
        <w:rPr>
          <w:color w:val="6E6158"/>
          <w:spacing w:val="23"/>
        </w:rPr>
        <w:t> </w:t>
      </w:r>
      <w:r>
        <w:rPr>
          <w:color w:val="6E6158"/>
        </w:rPr>
        <w:t>(“Legal</w:t>
      </w:r>
      <w:r>
        <w:rPr>
          <w:color w:val="6E6158"/>
          <w:spacing w:val="23"/>
        </w:rPr>
        <w:t> </w:t>
      </w:r>
      <w:r>
        <w:rPr>
          <w:color w:val="6E6158"/>
        </w:rPr>
        <w:t>Accountability”),</w:t>
      </w:r>
      <w:r>
        <w:rPr>
          <w:color w:val="6E6158"/>
          <w:spacing w:val="23"/>
        </w:rPr>
        <w:t> </w:t>
      </w:r>
      <w:r>
        <w:rPr>
          <w:color w:val="6E6158"/>
        </w:rPr>
        <w:t>Feb.</w:t>
      </w:r>
      <w:r>
        <w:rPr>
          <w:color w:val="6E6158"/>
          <w:spacing w:val="23"/>
        </w:rPr>
        <w:t> </w:t>
      </w:r>
      <w:r>
        <w:rPr>
          <w:color w:val="6E6158"/>
        </w:rPr>
        <w:t>2024</w:t>
      </w:r>
    </w:p>
    <w:p>
      <w:pPr>
        <w:pStyle w:val="Heading1"/>
        <w:spacing w:before="159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ACTIVITIES</w:t>
      </w:r>
    </w:p>
    <w:p>
      <w:pPr>
        <w:pStyle w:val="BodyText"/>
        <w:spacing w:line="427" w:lineRule="auto" w:before="147"/>
        <w:ind w:left="351" w:right="143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1060346</wp:posOffset>
                </wp:positionH>
                <wp:positionV relativeFrom="paragraph">
                  <wp:posOffset>158135</wp:posOffset>
                </wp:positionV>
                <wp:extent cx="20955" cy="20955"/>
                <wp:effectExtent l="0" t="0" r="0" b="0"/>
                <wp:wrapNone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5165pt;width:1.65pt;height:1.65pt;mso-position-horizontal-relative:page;mso-position-vertical-relative:paragraph;z-index:15735296" id="docshape23" coordorigin="1670,249" coordsize="33,33" path="m1691,282l1682,282,1678,280,1671,274,1670,270,1670,261,1671,257,1678,251,1682,249,1691,249,1694,251,1701,257,1702,261,1702,265,1702,270,1701,274,1694,280,1691,28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1060346</wp:posOffset>
                </wp:positionH>
                <wp:positionV relativeFrom="paragraph">
                  <wp:posOffset>416501</wp:posOffset>
                </wp:positionV>
                <wp:extent cx="20955" cy="20955"/>
                <wp:effectExtent l="0" t="0" r="0" b="0"/>
                <wp:wrapNone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2.795395pt;width:1.65pt;height:1.65pt;mso-position-horizontal-relative:page;mso-position-vertical-relative:paragraph;z-index:15735808" id="docshape24" coordorigin="1670,656" coordsize="33,33" path="m1691,688l1682,688,1678,687,1671,681,1670,677,1670,668,1671,664,1678,657,1682,656,1691,656,1694,657,1701,664,1702,668,1702,672,1702,677,1701,681,1694,687,1691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Member, 2025-2026 class of the Idaho Academy of Leadership for Lawyers </w:t>
      </w:r>
      <w:r>
        <w:rPr>
          <w:color w:val="6E6158"/>
        </w:rPr>
        <w:t>(IALL) Co-Chair, Grants Committee, Rotary Club of Coeur d’Alene</w:t>
      </w:r>
    </w:p>
    <w:p>
      <w:pPr>
        <w:pStyle w:val="BodyText"/>
        <w:spacing w:line="226" w:lineRule="exact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1060346</wp:posOffset>
                </wp:positionH>
                <wp:positionV relativeFrom="paragraph">
                  <wp:posOffset>54907</wp:posOffset>
                </wp:positionV>
                <wp:extent cx="20955" cy="20955"/>
                <wp:effectExtent l="0" t="0" r="0" b="0"/>
                <wp:wrapNone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.323402pt;width:1.65pt;height:1.65pt;mso-position-horizontal-relative:page;mso-position-vertical-relative:paragraph;z-index:15736320" id="docshape25" coordorigin="1670,86" coordsize="33,33" path="m1691,119l1682,119,1678,117,1671,111,1670,107,1670,98,1671,94,1678,88,1682,86,1691,86,1694,88,1701,94,1702,98,1702,103,1702,107,1701,111,1694,117,1691,11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Member,</w:t>
      </w:r>
      <w:r>
        <w:rPr>
          <w:color w:val="6E6158"/>
          <w:spacing w:val="5"/>
        </w:rPr>
        <w:t> </w:t>
      </w:r>
      <w:r>
        <w:rPr>
          <w:color w:val="6E6158"/>
        </w:rPr>
        <w:t>Idaho</w:t>
      </w:r>
      <w:r>
        <w:rPr>
          <w:color w:val="6E6158"/>
          <w:spacing w:val="5"/>
        </w:rPr>
        <w:t> </w:t>
      </w:r>
      <w:r>
        <w:rPr>
          <w:color w:val="6E6158"/>
        </w:rPr>
        <w:t>Women</w:t>
      </w:r>
      <w:r>
        <w:rPr>
          <w:color w:val="6E6158"/>
          <w:spacing w:val="5"/>
        </w:rPr>
        <w:t> </w:t>
      </w:r>
      <w:r>
        <w:rPr>
          <w:color w:val="6E6158"/>
          <w:spacing w:val="-2"/>
        </w:rPr>
        <w:t>Lawyers</w:t>
      </w:r>
    </w:p>
    <w:p>
      <w:pPr>
        <w:pStyle w:val="BodyText"/>
        <w:spacing w:before="174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1060346</wp:posOffset>
                </wp:positionH>
                <wp:positionV relativeFrom="paragraph">
                  <wp:posOffset>175232</wp:posOffset>
                </wp:positionV>
                <wp:extent cx="20955" cy="20955"/>
                <wp:effectExtent l="0" t="0" r="0" b="0"/>
                <wp:wrapNone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97806pt;width:1.65pt;height:1.65pt;mso-position-horizontal-relative:page;mso-position-vertical-relative:paragraph;z-index:15736832" id="docshape26" coordorigin="1670,276" coordsize="33,33" path="m1691,309l1682,309,1678,307,1671,301,1670,297,1670,288,1671,284,1678,278,1682,276,1691,276,1694,278,1701,284,1702,288,1702,292,1702,297,1701,301,1694,307,1691,30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Member,</w:t>
      </w:r>
      <w:r>
        <w:rPr>
          <w:color w:val="6E6158"/>
          <w:spacing w:val="13"/>
        </w:rPr>
        <w:t> </w:t>
      </w:r>
      <w:r>
        <w:rPr>
          <w:color w:val="6E6158"/>
        </w:rPr>
        <w:t>Magnet</w:t>
      </w:r>
      <w:r>
        <w:rPr>
          <w:color w:val="6E6158"/>
          <w:spacing w:val="14"/>
        </w:rPr>
        <w:t> </w:t>
      </w:r>
      <w:r>
        <w:rPr>
          <w:color w:val="6E6158"/>
        </w:rPr>
        <w:t>Committee,</w:t>
      </w:r>
      <w:r>
        <w:rPr>
          <w:color w:val="6E6158"/>
          <w:spacing w:val="13"/>
        </w:rPr>
        <w:t> </w:t>
      </w:r>
      <w:r>
        <w:rPr>
          <w:color w:val="6E6158"/>
        </w:rPr>
        <w:t>Sorensen</w:t>
      </w:r>
      <w:r>
        <w:rPr>
          <w:color w:val="6E6158"/>
          <w:spacing w:val="14"/>
        </w:rPr>
        <w:t> </w:t>
      </w:r>
      <w:r>
        <w:rPr>
          <w:color w:val="6E6158"/>
        </w:rPr>
        <w:t>Magnet</w:t>
      </w:r>
      <w:r>
        <w:rPr>
          <w:color w:val="6E6158"/>
          <w:spacing w:val="13"/>
        </w:rPr>
        <w:t> </w:t>
      </w:r>
      <w:r>
        <w:rPr>
          <w:color w:val="6E6158"/>
          <w:spacing w:val="-2"/>
        </w:rPr>
        <w:t>School</w:t>
      </w:r>
    </w:p>
    <w:p>
      <w:pPr>
        <w:pStyle w:val="BodyText"/>
        <w:spacing w:before="41"/>
        <w:rPr>
          <w:sz w:val="24"/>
        </w:rPr>
      </w:pPr>
    </w:p>
    <w:p>
      <w:pPr>
        <w:pStyle w:val="Heading1"/>
      </w:pPr>
      <w:r>
        <w:rPr>
          <w:color w:val="FF8100"/>
          <w:spacing w:val="-2"/>
        </w:rPr>
        <w:t>ADMISSIONS</w:t>
      </w:r>
    </w:p>
    <w:p>
      <w:pPr>
        <w:pStyle w:val="BodyText"/>
        <w:spacing w:line="422" w:lineRule="auto" w:before="147"/>
        <w:ind w:left="351" w:right="580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1060346</wp:posOffset>
                </wp:positionH>
                <wp:positionV relativeFrom="paragraph">
                  <wp:posOffset>157820</wp:posOffset>
                </wp:positionV>
                <wp:extent cx="20955" cy="20955"/>
                <wp:effectExtent l="0" t="0" r="0" b="0"/>
                <wp:wrapNone/>
                <wp:docPr id="27" name="Graphic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Graphic 2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26805pt;width:1.65pt;height:1.65pt;mso-position-horizontal-relative:page;mso-position-vertical-relative:paragraph;z-index:15737344" id="docshape27" coordorigin="1670,249" coordsize="33,33" path="m1691,281l1682,281,1678,279,1671,273,1670,269,1670,260,1671,256,1678,250,1682,249,1691,249,1694,250,1701,256,1702,260,1702,265,1702,269,1701,273,1694,279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1060346</wp:posOffset>
                </wp:positionH>
                <wp:positionV relativeFrom="paragraph">
                  <wp:posOffset>416185</wp:posOffset>
                </wp:positionV>
                <wp:extent cx="20955" cy="20955"/>
                <wp:effectExtent l="0" t="0" r="0" b="0"/>
                <wp:wrapNone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2.77055pt;width:1.65pt;height:1.65pt;mso-position-horizontal-relative:page;mso-position-vertical-relative:paragraph;z-index:15737856" id="docshape28" coordorigin="1670,655" coordsize="33,33" path="m1691,688l1682,688,1678,686,1671,680,1670,676,1670,667,1671,663,1678,657,1682,655,1691,655,1694,657,1701,663,1702,667,1702,672,1702,676,1701,680,1694,686,1691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368">
                <wp:simplePos x="0" y="0"/>
                <wp:positionH relativeFrom="page">
                  <wp:posOffset>1060346</wp:posOffset>
                </wp:positionH>
                <wp:positionV relativeFrom="paragraph">
                  <wp:posOffset>679719</wp:posOffset>
                </wp:positionV>
                <wp:extent cx="20955" cy="20955"/>
                <wp:effectExtent l="0" t="0" r="0" b="0"/>
                <wp:wrapNone/>
                <wp:docPr id="29" name="Graphic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Graphic 2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3.521187pt;width:1.65pt;height:1.65pt;mso-position-horizontal-relative:page;mso-position-vertical-relative:paragraph;z-index:15738368" id="docshape29" coordorigin="1670,1070" coordsize="33,33" path="m1691,1103l1682,1103,1678,1101,1671,1095,1670,1091,1670,1082,1671,1078,1678,1072,1682,1070,1691,1070,1694,1072,1701,1078,1702,1082,1702,1087,1702,1091,1701,1095,1694,1101,1691,110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880">
                <wp:simplePos x="0" y="0"/>
                <wp:positionH relativeFrom="page">
                  <wp:posOffset>1060346</wp:posOffset>
                </wp:positionH>
                <wp:positionV relativeFrom="paragraph">
                  <wp:posOffset>938084</wp:posOffset>
                </wp:positionV>
                <wp:extent cx="20955" cy="20955"/>
                <wp:effectExtent l="0" t="0" r="0" b="0"/>
                <wp:wrapNone/>
                <wp:docPr id="30" name="Graphic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Graphic 3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73.864929pt;width:1.65pt;height:1.65pt;mso-position-horizontal-relative:page;mso-position-vertical-relative:paragraph;z-index:15738880" id="docshape30" coordorigin="1670,1477" coordsize="33,33" path="m1691,1510l1682,1510,1678,1508,1671,1502,1670,1498,1670,1489,1671,1485,1678,1479,1682,1477,1691,1477,1694,1479,1701,1485,1702,1489,1702,1494,1702,1498,1701,1502,1694,1508,1691,151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Idaho (state and federal) California (state and federal) Washington (state and </w:t>
      </w:r>
      <w:r>
        <w:rPr>
          <w:color w:val="6E6158"/>
        </w:rPr>
        <w:t>federal) Ninth Circuit</w:t>
      </w:r>
    </w:p>
    <w:sectPr>
      <w:pgSz w:w="12240" w:h="15840"/>
      <w:pgMar w:top="50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99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business-litigation/" TargetMode="External"/><Relationship Id="rId9" Type="http://schemas.openxmlformats.org/officeDocument/2006/relationships/hyperlink" Target="https://www.fennemorelaw.com/contact-us/coeur-dalene/" TargetMode="External"/><Relationship Id="rId10" Type="http://schemas.openxmlformats.org/officeDocument/2006/relationships/hyperlink" Target="mailto:lmorgan@fennemorelaw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Lindsey Morgan - Fennemore</dc:title>
  <dcterms:created xsi:type="dcterms:W3CDTF">2026-02-16T17:17:05Z</dcterms:created>
  <dcterms:modified xsi:type="dcterms:W3CDTF">2026-02-16T17:17:05Z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2026-02-16T00:00:00Z</vt:filetime>
  </property>
  <property fmtid="{D5CDD505-2E9C-101B-9397-08002B2CF9AE}" pid="3" name="Creator">
    <vt:lpwstr>Mozilla/5.0 (X11; Linux x86_64) AppleWebKit/537.36 (KHTML, like Gecko) Chrome/141.0.0.0 Safari/537.36</vt:lpwstr>
  </property>
  <property fmtid="{D5CDD505-2E9C-101B-9397-08002B2CF9AE}" pid="4" name="LastSaved">
    <vt:filetime>2026-02-16T00:00:00Z</vt:filetime>
  </property>
  <property fmtid="{D5CDD505-2E9C-101B-9397-08002B2CF9AE}" pid="5" name="Producer">
    <vt:lpwstr>Skia/PDF m142</vt:lpwstr>
  </property>
</Properties>
</file>