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lli Cros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54805" y="1369338"/>
                            <a:ext cx="140081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810" h="320675">
                                <a:moveTo>
                                  <a:pt x="140034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400340" y="320382"/>
                                </a:lnTo>
                                <a:lnTo>
                                  <a:pt x="1400340" y="315214"/>
                                </a:lnTo>
                                <a:close/>
                              </a:path>
                              <a:path w="1400810" h="320675">
                                <a:moveTo>
                                  <a:pt x="1400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400340" y="5168"/>
                                </a:lnTo>
                                <a:lnTo>
                                  <a:pt x="1400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ALLI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CROSS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863.315.3284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across@fennemorelaw.com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Alli Cross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6070;top:2156;width:2206;height:505" id="docshape5" coordorigin="6071,2156" coordsize="2206,505" path="m8276,2653l6071,2653,6071,2661,8276,2661,8276,2653xm8276,2156l6071,2156,6071,2165,8276,2165,8276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ALLI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CROSS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863.315.3284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across@fennemorelaw.com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ALLI</w:t>
      </w:r>
      <w:r>
        <w:rPr>
          <w:color w:val="FF8100"/>
          <w:spacing w:val="5"/>
        </w:rPr>
        <w:t> </w:t>
      </w:r>
      <w:r>
        <w:rPr>
          <w:color w:val="FF8100"/>
          <w:spacing w:val="-4"/>
        </w:rPr>
        <w:t>CROSS</w:t>
      </w:r>
    </w:p>
    <w:p>
      <w:pPr>
        <w:pStyle w:val="BodyText"/>
        <w:spacing w:line="297" w:lineRule="auto"/>
        <w:ind w:left="99" w:right="739"/>
      </w:pPr>
      <w:r>
        <w:rPr>
          <w:color w:val="6E6158"/>
        </w:rPr>
        <w:t>Alli Cross is an attorney in Fennemore’s Real Estate group, advising businesses on contracts,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governance, commercial real estate, and mergers and acquisitions. She </w:t>
      </w:r>
      <w:r>
        <w:rPr>
          <w:color w:val="6E6158"/>
        </w:rPr>
        <w:t>represents</w:t>
      </w:r>
      <w:r>
        <w:rPr>
          <w:color w:val="6E6158"/>
          <w:spacing w:val="40"/>
        </w:rPr>
        <w:t> </w:t>
      </w:r>
      <w:r>
        <w:rPr>
          <w:color w:val="6E6158"/>
        </w:rPr>
        <w:t>companies across a range of industries in structuring, negotiating, and managing commercial</w:t>
      </w:r>
      <w:r>
        <w:rPr>
          <w:color w:val="6E6158"/>
          <w:spacing w:val="40"/>
        </w:rPr>
        <w:t> </w:t>
      </w:r>
      <w:r>
        <w:rPr>
          <w:color w:val="6E6158"/>
        </w:rPr>
        <w:t>transactions, with a focus on practical solutions that support business growth and operational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efficiency.</w:t>
      </w:r>
    </w:p>
    <w:p>
      <w:pPr>
        <w:pStyle w:val="BodyText"/>
        <w:spacing w:line="292" w:lineRule="auto" w:before="191"/>
        <w:ind w:left="99"/>
      </w:pPr>
      <w:r>
        <w:rPr>
          <w:color w:val="6E6158"/>
        </w:rPr>
        <w:t>Alli works closely with clients to draft and negotiate complex agreements, navigate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governance matters, and resolve sensitive business issues with clarity and precision. She</w:t>
      </w:r>
      <w:r>
        <w:rPr>
          <w:color w:val="6E6158"/>
          <w:spacing w:val="40"/>
        </w:rPr>
        <w:t> </w:t>
      </w:r>
      <w:r>
        <w:rPr>
          <w:color w:val="6E6158"/>
        </w:rPr>
        <w:t>collaborates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multidisciplinary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teams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deliver</w:t>
      </w:r>
      <w:r>
        <w:rPr>
          <w:color w:val="6E6158"/>
          <w:spacing w:val="40"/>
        </w:rPr>
        <w:t> </w:t>
      </w:r>
      <w:r>
        <w:rPr>
          <w:color w:val="6E6158"/>
        </w:rPr>
        <w:t>comprehensive</w:t>
      </w:r>
      <w:r>
        <w:rPr>
          <w:color w:val="6E6158"/>
          <w:spacing w:val="40"/>
        </w:rPr>
        <w:t> </w:t>
      </w:r>
      <w:r>
        <w:rPr>
          <w:color w:val="6E6158"/>
        </w:rPr>
        <w:t>support</w:t>
      </w:r>
      <w:r>
        <w:rPr>
          <w:color w:val="6E6158"/>
          <w:spacing w:val="40"/>
        </w:rPr>
        <w:t> </w:t>
      </w:r>
      <w:r>
        <w:rPr>
          <w:color w:val="6E6158"/>
        </w:rPr>
        <w:t>across</w:t>
      </w:r>
    </w:p>
    <w:p>
      <w:pPr>
        <w:pStyle w:val="BodyText"/>
        <w:spacing w:line="292" w:lineRule="auto" w:before="10"/>
        <w:ind w:left="99"/>
      </w:pPr>
      <w:r>
        <w:rPr>
          <w:color w:val="6E6158"/>
        </w:rPr>
        <w:t>transactional, regulatory, and relationship-driven matters, helping clients manage risk </w:t>
      </w:r>
      <w:r>
        <w:rPr>
          <w:color w:val="6E6158"/>
        </w:rPr>
        <w:t>while</w:t>
      </w:r>
      <w:r>
        <w:rPr>
          <w:color w:val="6E6158"/>
          <w:spacing w:val="40"/>
        </w:rPr>
        <w:t> </w:t>
      </w:r>
      <w:r>
        <w:rPr>
          <w:color w:val="6E6158"/>
        </w:rPr>
        <w:t>advancing their strategic objectives.</w:t>
      </w:r>
    </w:p>
    <w:p>
      <w:pPr>
        <w:pStyle w:val="BodyText"/>
        <w:spacing w:line="295" w:lineRule="auto" w:before="197"/>
        <w:ind w:left="99"/>
      </w:pPr>
      <w:r>
        <w:rPr>
          <w:color w:val="6E6158"/>
        </w:rPr>
        <w:t>Before</w:t>
      </w:r>
      <w:r>
        <w:rPr>
          <w:color w:val="6E6158"/>
          <w:spacing w:val="23"/>
        </w:rPr>
        <w:t> </w:t>
      </w:r>
      <w:r>
        <w:rPr>
          <w:color w:val="6E6158"/>
        </w:rPr>
        <w:t>joining</w:t>
      </w:r>
      <w:r>
        <w:rPr>
          <w:color w:val="6E6158"/>
          <w:spacing w:val="23"/>
        </w:rPr>
        <w:t> </w:t>
      </w:r>
      <w:r>
        <w:rPr>
          <w:color w:val="6E6158"/>
        </w:rPr>
        <w:t>Fennemore,</w:t>
      </w:r>
      <w:r>
        <w:rPr>
          <w:color w:val="6E6158"/>
          <w:spacing w:val="23"/>
        </w:rPr>
        <w:t> </w:t>
      </w:r>
      <w:r>
        <w:rPr>
          <w:color w:val="6E6158"/>
        </w:rPr>
        <w:t>Alli</w:t>
      </w:r>
      <w:r>
        <w:rPr>
          <w:color w:val="6E6158"/>
          <w:spacing w:val="23"/>
        </w:rPr>
        <w:t> </w:t>
      </w:r>
      <w:r>
        <w:rPr>
          <w:color w:val="6E6158"/>
        </w:rPr>
        <w:t>was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associate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Am</w:t>
      </w:r>
      <w:r>
        <w:rPr>
          <w:color w:val="6E6158"/>
          <w:spacing w:val="23"/>
        </w:rPr>
        <w:t> </w:t>
      </w:r>
      <w:r>
        <w:rPr>
          <w:color w:val="6E6158"/>
        </w:rPr>
        <w:t>Law</w:t>
      </w:r>
      <w:r>
        <w:rPr>
          <w:color w:val="6E6158"/>
          <w:spacing w:val="23"/>
        </w:rPr>
        <w:t> </w:t>
      </w:r>
      <w:r>
        <w:rPr>
          <w:color w:val="6E6158"/>
        </w:rPr>
        <w:t>200</w:t>
      </w:r>
      <w:r>
        <w:rPr>
          <w:color w:val="6E6158"/>
          <w:spacing w:val="23"/>
        </w:rPr>
        <w:t> </w:t>
      </w:r>
      <w:r>
        <w:rPr>
          <w:color w:val="6E6158"/>
        </w:rPr>
        <w:t>firm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served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legal and contracts supervisor at Universal Creative, part of Universal Parks &amp; Resorts. In that role, she</w:t>
      </w:r>
      <w:r>
        <w:rPr>
          <w:color w:val="6E6158"/>
          <w:spacing w:val="40"/>
        </w:rPr>
        <w:t> </w:t>
      </w:r>
      <w:r>
        <w:rPr>
          <w:color w:val="6E6158"/>
        </w:rPr>
        <w:t>supported large-scale themed entertainment and development projects, including three years</w:t>
      </w:r>
      <w:r>
        <w:rPr>
          <w:color w:val="6E6158"/>
          <w:spacing w:val="40"/>
        </w:rPr>
        <w:t> </w:t>
      </w:r>
      <w:r>
        <w:rPr>
          <w:color w:val="6E6158"/>
        </w:rPr>
        <w:t>based in Osaka, Japan at Universal Studios Japan. She managed contracts for more than 200</w:t>
      </w:r>
      <w:r>
        <w:rPr>
          <w:color w:val="6E6158"/>
          <w:spacing w:val="40"/>
        </w:rPr>
        <w:t> </w:t>
      </w:r>
      <w:r>
        <w:rPr>
          <w:color w:val="6E6158"/>
        </w:rPr>
        <w:t>global companies and vendors across construction, architecture and engineering, </w:t>
      </w:r>
      <w:r>
        <w:rPr>
          <w:color w:val="6E6158"/>
        </w:rPr>
        <w:t>technology,</w:t>
      </w:r>
      <w:r>
        <w:rPr>
          <w:color w:val="6E6158"/>
          <w:spacing w:val="40"/>
        </w:rPr>
        <w:t> </w:t>
      </w:r>
      <w:r>
        <w:rPr>
          <w:color w:val="6E6158"/>
        </w:rPr>
        <w:t>logistics, design, and complex ride and show systems, giving her a strong international</w:t>
      </w:r>
      <w:r>
        <w:rPr>
          <w:color w:val="6E6158"/>
          <w:spacing w:val="40"/>
        </w:rPr>
        <w:t> </w:t>
      </w:r>
      <w:r>
        <w:rPr>
          <w:color w:val="6E6158"/>
        </w:rPr>
        <w:t>perspective on commercial contracting and project execution.</w:t>
      </w:r>
    </w:p>
    <w:p>
      <w:pPr>
        <w:pStyle w:val="Heading1"/>
        <w:spacing w:before="165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/>
        <w:ind w:right="54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157829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553pt;width:1.65pt;height:1.65pt;mso-position-horizontal-relative:page;mso-position-vertical-relative:paragraph;z-index:15729152" id="docshape7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416195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1297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Northeastern University School of </w:t>
      </w:r>
      <w:r>
        <w:rPr>
          <w:color w:val="6E6158"/>
        </w:rPr>
        <w:t>Law</w:t>
      </w:r>
      <w:r>
        <w:rPr>
          <w:color w:val="6E6158"/>
        </w:rPr>
        <w:t> B.A., University of South Florida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69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152958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3948pt;width:1.65pt;height:1.65pt;mso-position-horizontal-relative:page;mso-position-vertical-relative:paragraph;z-index:15730176" id="docshape9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416490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4563pt;width:1.65pt;height:1.65pt;mso-position-horizontal-relative:page;mso-position-vertical-relative:paragraph;z-index:15730688" id="docshape10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674856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38329pt;width:1.65pt;height:1.65pt;mso-position-horizontal-relative:page;mso-position-vertical-relative:paragraph;z-index:15731200" id="docshape11" coordorigin="1670,1063" coordsize="33,33" path="m1691,1095l1682,1095,1678,1094,1671,1087,1670,1084,1670,1075,1671,1071,1678,1064,1682,1063,1691,1063,1694,1064,1701,1071,1702,1075,1702,1079,1702,1084,1701,1087,1694,1094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Mergers &amp; </w:t>
      </w:r>
      <w:r>
        <w:rPr>
          <w:color w:val="6E6158"/>
        </w:rPr>
        <w:t>Acquisitions Real Estate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152748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7473pt;width:1.65pt;height:1.65pt;mso-position-horizontal-relative:page;mso-position-vertical-relative:paragraph;z-index:15731712" id="docshape12" coordorigin="1670,241" coordsize="33,33" path="m1691,273l1682,273,1678,272,1671,265,1670,261,1670,252,1671,248,1678,242,1682,241,1691,241,1694,242,1701,248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Florida</w:t>
      </w:r>
      <w:r>
        <w:rPr>
          <w:color w:val="6E6158"/>
          <w:spacing w:val="8"/>
        </w:rPr>
        <w:t> </w:t>
      </w:r>
      <w:r>
        <w:rPr>
          <w:color w:val="6E6158"/>
        </w:rPr>
        <w:t>Bar,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8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Property,</w:t>
      </w:r>
      <w:r>
        <w:rPr>
          <w:color w:val="6E6158"/>
          <w:spacing w:val="8"/>
        </w:rPr>
        <w:t> </w:t>
      </w:r>
      <w:r>
        <w:rPr>
          <w:color w:val="6E6158"/>
        </w:rPr>
        <w:t>Probate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Trust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Section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54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224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2736" id="docshape14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Lakeland Bar Association Director, Polk Area Real Estate </w:t>
      </w:r>
      <w:r>
        <w:rPr>
          <w:color w:val="6E6158"/>
        </w:rPr>
        <w:t>Council</w:t>
      </w:r>
    </w:p>
    <w:p>
      <w:pPr>
        <w:pStyle w:val="Heading1"/>
        <w:spacing w:before="46"/>
      </w:pPr>
      <w:r>
        <w:rPr>
          <w:color w:val="FF8100"/>
          <w:spacing w:val="-2"/>
        </w:rPr>
        <w:t>ADMISSIONS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152695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3277pt;width:1.65pt;height:1.65pt;mso-position-horizontal-relative:page;mso-position-vertical-relative:paragraph;z-index:15733248" id="docshape15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Florida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 w:right="663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7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acros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 Cross - Fennemore</dc:title>
  <dcterms:created xsi:type="dcterms:W3CDTF">2026-03-31T03:07:28Z</dcterms:created>
  <dcterms:modified xsi:type="dcterms:W3CDTF">2026-03-31T03:07:28Z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2026-03-31T00:00:00Z</vt:filetime>
  </property>
  <property fmtid="{D5CDD505-2E9C-101B-9397-08002B2CF9AE}" pid="5" name="Producer">
    <vt:lpwstr>Skia/PDF m142</vt:lpwstr>
  </property>
</Properties>
</file>