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84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-3386172</wp:posOffset>
                </wp:positionV>
                <wp:extent cx="6071870" cy="3317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17875"/>
                          <a:chExt cx="6071870" cy="331787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leena Braig 113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33149" y="763308"/>
                            <a:ext cx="2054225" cy="125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CALEENA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BRAIG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&amp; Director of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Legal Talent Acquisition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1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288513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44867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44867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7952" y="2655392"/>
                            <a:ext cx="1424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cbraig@fennemorelaw.com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66.627747pt;width:478.1pt;height:261.25pt;mso-position-horizontal-relative:page;mso-position-vertical-relative:paragraph;z-index:15728640" id="docshapegroup1" coordorigin="1336,-5333" coordsize="9562,5225">
                <v:shape style="position:absolute;left:1336;top:-5333;width:2165;height:424" type="#_x0000_t75" id="docshape2" alt="Fennemore" href="https://www.fennemorelaw.com/" stroked="false">
                  <v:imagedata r:id="rId5" o:title=""/>
                </v:shape>
                <v:shape style="position:absolute;left:1336;top:-4910;width:4785;height:4802" type="#_x0000_t75" id="docshape3" alt="Caleena Braig 1135website" stroked="false">
                  <v:imagedata r:id="rId7" o:title=""/>
                </v:shape>
                <v:rect style="position:absolute;left:6121;top:-4910;width:4777;height:4802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0;top:-4131;width:3235;height:1975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CALEENA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BRAIG</w:t>
                        </w:r>
                      </w:p>
                      <w:p>
                        <w:pPr>
                          <w:spacing w:line="199" w:lineRule="auto" w:before="8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&amp; Director of </w:t>
                        </w:r>
                        <w:r>
                          <w:rPr>
                            <w:color w:val="FFFFFF"/>
                            <w:sz w:val="24"/>
                          </w:rPr>
                          <w:t>Legal Talent Acquisition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919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95;top:-1151;width:224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cbraig@fennemorelaw.com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CALEENA</w:t>
      </w:r>
      <w:r>
        <w:rPr>
          <w:color w:val="FF8100"/>
          <w:spacing w:val="7"/>
        </w:rPr>
        <w:t> </w:t>
      </w:r>
      <w:r>
        <w:rPr>
          <w:color w:val="FF8100"/>
        </w:rPr>
        <w:t>S.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BRAIG</w:t>
      </w:r>
    </w:p>
    <w:p>
      <w:pPr>
        <w:pStyle w:val="BodyText"/>
        <w:spacing w:line="297" w:lineRule="auto" w:before="147"/>
        <w:ind w:left="99" w:right="156"/>
      </w:pPr>
      <w:r>
        <w:rPr>
          <w:color w:val="6E6158"/>
        </w:rPr>
        <w:t>Caleena Braig is a seasoned trial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</w:t>
      </w:r>
      <w:r>
        <w:rPr>
          <w:color w:val="6E6158"/>
          <w:spacing w:val="80"/>
        </w:rPr>
        <w:t> </w:t>
      </w:r>
      <w:r>
        <w:rPr>
          <w:color w:val="6E6158"/>
        </w:rPr>
        <w:t>where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represents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broad</w:t>
      </w:r>
      <w:r>
        <w:rPr>
          <w:color w:val="6E6158"/>
          <w:spacing w:val="25"/>
        </w:rPr>
        <w:t> </w:t>
      </w:r>
      <w:r>
        <w:rPr>
          <w:color w:val="6E6158"/>
        </w:rPr>
        <w:t>spectrum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litigation</w:t>
      </w:r>
      <w:r>
        <w:rPr>
          <w:color w:val="6E6158"/>
          <w:spacing w:val="25"/>
        </w:rPr>
        <w:t> </w:t>
      </w:r>
      <w:r>
        <w:rPr>
          <w:color w:val="6E6158"/>
        </w:rPr>
        <w:t>matters.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practice</w:t>
      </w:r>
      <w:r>
        <w:rPr>
          <w:color w:val="6E6158"/>
          <w:spacing w:val="25"/>
        </w:rPr>
        <w:t> </w:t>
      </w:r>
      <w:r>
        <w:rPr>
          <w:color w:val="6E6158"/>
        </w:rPr>
        <w:t>focuses on breach of contract disputes, employment issues—including wrongful termination—real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disputes, and complex business litigation. As the Director of Legal Talent Acquisition, Caleena</w:t>
      </w:r>
      <w:r>
        <w:rPr>
          <w:color w:val="6E6158"/>
          <w:spacing w:val="40"/>
        </w:rPr>
        <w:t> </w:t>
      </w:r>
      <w:r>
        <w:rPr>
          <w:color w:val="6E6158"/>
        </w:rPr>
        <w:t>handles Director recruitment and plays a key role in the firm’s strategic growth through mergers</w:t>
      </w:r>
      <w:r>
        <w:rPr>
          <w:color w:val="6E6158"/>
          <w:spacing w:val="40"/>
        </w:rPr>
        <w:t> </w:t>
      </w:r>
      <w:r>
        <w:rPr>
          <w:color w:val="6E6158"/>
        </w:rPr>
        <w:t>and combinations.</w:t>
      </w:r>
    </w:p>
    <w:p>
      <w:pPr>
        <w:pStyle w:val="BodyText"/>
        <w:spacing w:line="292" w:lineRule="auto" w:before="187"/>
        <w:ind w:left="99" w:right="392"/>
      </w:pPr>
      <w:r>
        <w:rPr>
          <w:color w:val="6E6158"/>
        </w:rPr>
        <w:t>Caleena works closely with clients to proactively manage risk, offering strategic advice to</w:t>
      </w:r>
      <w:r>
        <w:rPr>
          <w:color w:val="6E6158"/>
          <w:spacing w:val="40"/>
        </w:rPr>
        <w:t> </w:t>
      </w:r>
      <w:r>
        <w:rPr>
          <w:color w:val="6E6158"/>
        </w:rPr>
        <w:t>prevent litigious disputes or reach favorable settlements. When litigation is necessary, she is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formidable</w:t>
      </w:r>
      <w:r>
        <w:rPr>
          <w:color w:val="6E6158"/>
          <w:spacing w:val="24"/>
        </w:rPr>
        <w:t> </w:t>
      </w:r>
      <w:r>
        <w:rPr>
          <w:color w:val="6E6158"/>
        </w:rPr>
        <w:t>advocate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jury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bench</w:t>
      </w:r>
      <w:r>
        <w:rPr>
          <w:color w:val="6E6158"/>
          <w:spacing w:val="24"/>
        </w:rPr>
        <w:t> </w:t>
      </w:r>
      <w:r>
        <w:rPr>
          <w:color w:val="6E6158"/>
        </w:rPr>
        <w:t>trials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both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arbitration. Caleena’s experience spans the full litigation cycle from discovery and depositions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motion practice, trial preparation, and courtroom advocacy.</w:t>
      </w:r>
    </w:p>
    <w:p>
      <w:pPr>
        <w:pStyle w:val="BodyText"/>
        <w:spacing w:line="295" w:lineRule="auto" w:before="196"/>
        <w:ind w:left="99" w:right="173"/>
      </w:pPr>
      <w:r>
        <w:rPr>
          <w:color w:val="6E6158"/>
        </w:rPr>
        <w:t>Before</w:t>
      </w:r>
      <w:r>
        <w:rPr>
          <w:color w:val="6E6158"/>
          <w:spacing w:val="20"/>
        </w:rPr>
        <w:t> </w:t>
      </w:r>
      <w:r>
        <w:rPr>
          <w:color w:val="6E6158"/>
        </w:rPr>
        <w:t>joining</w:t>
      </w:r>
      <w:r>
        <w:rPr>
          <w:color w:val="6E6158"/>
          <w:spacing w:val="20"/>
        </w:rPr>
        <w:t> </w:t>
      </w:r>
      <w:r>
        <w:rPr>
          <w:color w:val="6E6158"/>
        </w:rPr>
        <w:t>Fennemore,</w:t>
      </w:r>
      <w:r>
        <w:rPr>
          <w:color w:val="6E6158"/>
          <w:spacing w:val="20"/>
        </w:rPr>
        <w:t> </w:t>
      </w:r>
      <w:r>
        <w:rPr>
          <w:color w:val="6E6158"/>
        </w:rPr>
        <w:t>Caleena</w:t>
      </w:r>
      <w:r>
        <w:rPr>
          <w:color w:val="6E6158"/>
          <w:spacing w:val="20"/>
        </w:rPr>
        <w:t> </w:t>
      </w:r>
      <w:r>
        <w:rPr>
          <w:color w:val="6E6158"/>
        </w:rPr>
        <w:t>practiced</w:t>
      </w:r>
      <w:r>
        <w:rPr>
          <w:color w:val="6E6158"/>
          <w:spacing w:val="20"/>
        </w:rPr>
        <w:t> </w:t>
      </w:r>
      <w:r>
        <w:rPr>
          <w:color w:val="6E6158"/>
        </w:rPr>
        <w:t>at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regional</w:t>
      </w:r>
      <w:r>
        <w:rPr>
          <w:color w:val="6E6158"/>
          <w:spacing w:val="20"/>
        </w:rPr>
        <w:t> </w:t>
      </w:r>
      <w:r>
        <w:rPr>
          <w:color w:val="6E6158"/>
        </w:rPr>
        <w:t>litigation</w:t>
      </w:r>
      <w:r>
        <w:rPr>
          <w:color w:val="6E6158"/>
          <w:spacing w:val="20"/>
        </w:rPr>
        <w:t> </w:t>
      </w:r>
      <w:r>
        <w:rPr>
          <w:color w:val="6E6158"/>
        </w:rPr>
        <w:t>firm,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defended a</w:t>
      </w:r>
      <w:r>
        <w:rPr>
          <w:color w:val="6E6158"/>
          <w:spacing w:val="29"/>
        </w:rPr>
        <w:t> </w:t>
      </w:r>
      <w:r>
        <w:rPr>
          <w:color w:val="6E6158"/>
        </w:rPr>
        <w:t>Fortune</w:t>
      </w:r>
      <w:r>
        <w:rPr>
          <w:color w:val="6E6158"/>
          <w:spacing w:val="29"/>
        </w:rPr>
        <w:t> </w:t>
      </w:r>
      <w:r>
        <w:rPr>
          <w:color w:val="6E6158"/>
        </w:rPr>
        <w:t>500</w:t>
      </w:r>
      <w:r>
        <w:rPr>
          <w:color w:val="6E6158"/>
          <w:spacing w:val="29"/>
        </w:rPr>
        <w:t> </w:t>
      </w:r>
      <w:r>
        <w:rPr>
          <w:color w:val="6E6158"/>
        </w:rPr>
        <w:t>company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complex,</w:t>
      </w:r>
      <w:r>
        <w:rPr>
          <w:color w:val="6E6158"/>
          <w:spacing w:val="29"/>
        </w:rPr>
        <w:t> </w:t>
      </w:r>
      <w:r>
        <w:rPr>
          <w:color w:val="6E6158"/>
        </w:rPr>
        <w:t>multi-jurisdictional</w:t>
      </w:r>
      <w:r>
        <w:rPr>
          <w:color w:val="6E6158"/>
          <w:spacing w:val="29"/>
        </w:rPr>
        <w:t> </w:t>
      </w:r>
      <w:r>
        <w:rPr>
          <w:color w:val="6E6158"/>
        </w:rPr>
        <w:t>matters.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trial attorney at a Dallas-based litigation defense firm, trying numerous cases to verdict in both state</w:t>
      </w:r>
      <w:r>
        <w:rPr>
          <w:color w:val="6E6158"/>
          <w:spacing w:val="40"/>
        </w:rPr>
        <w:t> </w:t>
      </w:r>
      <w:r>
        <w:rPr>
          <w:color w:val="6E6158"/>
        </w:rPr>
        <w:t>and federal court.</w:t>
      </w:r>
    </w:p>
    <w:p>
      <w:pPr>
        <w:pStyle w:val="BodyText"/>
        <w:spacing w:line="297" w:lineRule="auto" w:before="197"/>
        <w:ind w:left="99"/>
      </w:pPr>
      <w:r>
        <w:rPr>
          <w:color w:val="6E6158"/>
        </w:rPr>
        <w:t>Caleena is actively engaged in the community and has held leadership and volunteer roles with</w:t>
      </w:r>
      <w:r>
        <w:rPr>
          <w:color w:val="6E6158"/>
          <w:spacing w:val="40"/>
        </w:rPr>
        <w:t> </w:t>
      </w:r>
      <w:r>
        <w:rPr>
          <w:color w:val="6E6158"/>
        </w:rPr>
        <w:t>several nonprofit and civic organizations. Her involvement includes service with the Alzheimer’s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Association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Junior</w:t>
      </w:r>
      <w:r>
        <w:rPr>
          <w:color w:val="6E6158"/>
          <w:spacing w:val="33"/>
        </w:rPr>
        <w:t> </w:t>
      </w:r>
      <w:r>
        <w:rPr>
          <w:color w:val="6E6158"/>
        </w:rPr>
        <w:t>Leagues</w:t>
      </w:r>
      <w:r>
        <w:rPr>
          <w:color w:val="6E6158"/>
          <w:spacing w:val="33"/>
        </w:rPr>
        <w:t> </w:t>
      </w:r>
      <w:r>
        <w:rPr>
          <w:color w:val="6E6158"/>
        </w:rPr>
        <w:t>International,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Mile</w:t>
      </w:r>
      <w:r>
        <w:rPr>
          <w:color w:val="6E6158"/>
          <w:spacing w:val="33"/>
        </w:rPr>
        <w:t> </w:t>
      </w:r>
      <w:r>
        <w:rPr>
          <w:color w:val="6E6158"/>
        </w:rPr>
        <w:t>High</w:t>
      </w:r>
      <w:r>
        <w:rPr>
          <w:color w:val="6E6158"/>
          <w:spacing w:val="33"/>
        </w:rPr>
        <w:t> </w:t>
      </w:r>
      <w:r>
        <w:rPr>
          <w:color w:val="6E6158"/>
        </w:rPr>
        <w:t>360,</w:t>
      </w:r>
      <w:r>
        <w:rPr>
          <w:color w:val="6E6158"/>
          <w:spacing w:val="33"/>
        </w:rPr>
        <w:t> </w:t>
      </w:r>
      <w:r>
        <w:rPr>
          <w:color w:val="6E6158"/>
        </w:rPr>
        <w:t>among</w:t>
      </w:r>
      <w:r>
        <w:rPr>
          <w:color w:val="6E6158"/>
          <w:spacing w:val="33"/>
        </w:rPr>
        <w:t> </w:t>
      </w:r>
      <w:r>
        <w:rPr>
          <w:color w:val="6E6158"/>
        </w:rPr>
        <w:t>others.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68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157905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487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416270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229pt;width:1.65pt;height:1.65pt;mso-position-horizontal-relative:page;mso-position-vertical-relative:paragraph;z-index:15729664" id="docshape12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Baylor University 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Texa</w:t>
      </w:r>
      <w:r>
        <w:rPr>
          <w:color w:val="6E6158"/>
          <w:spacing w:val="-4"/>
        </w:rPr>
        <w:t>s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8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152398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9882pt;width:1.65pt;height:1.65pt;mso-position-horizontal-relative:page;mso-position-vertical-relative:paragraph;z-index:15730176" id="docshape13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415931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0496pt;width:1.65pt;height:1.65pt;mso-position-horizontal-relative:page;mso-position-vertical-relative:paragraph;z-index:15730688" id="docshape1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Labor &amp; </w:t>
      </w:r>
      <w:r>
        <w:rPr>
          <w:color w:val="6E6158"/>
        </w:rPr>
        <w:t>Employment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200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Ones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Watch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line="405" w:lineRule="auto" w:before="161"/>
        <w:ind w:left="351" w:right="332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173610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151pt;width:1.65pt;height:1.65pt;mso-position-horizontal-relative:page;mso-position-vertical-relative:paragraph;z-index:15731712" id="docshape1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431976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3893pt;width:1.65pt;height:1.65pt;mso-position-horizontal-relative:page;mso-position-vertical-relative:paragraph;z-index:15732224" id="docshape17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Lawyers®,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2026 Texas </w:t>
      </w:r>
      <w:r>
        <w:rPr>
          <w:i/>
          <w:color w:val="6E6158"/>
          <w:sz w:val="20"/>
        </w:rPr>
        <w:t>Super Lawyers®, </w:t>
      </w:r>
      <w:r>
        <w:rPr>
          <w:color w:val="6E6158"/>
          <w:sz w:val="19"/>
        </w:rPr>
        <w:t>Rising Star, 2018</w:t>
      </w:r>
    </w:p>
    <w:p>
      <w:pPr>
        <w:pStyle w:val="Heading1"/>
        <w:spacing w:before="165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245566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597pt;width:1.65pt;height:1.65pt;mso-position-horizontal-relative:page;mso-position-vertical-relative:paragraph;z-index:15732736" id="docshape18" coordorigin="1670,387" coordsize="33,33" path="m1691,419l1682,419,1678,418,1671,411,1670,407,1670,399,1671,395,1678,388,1682,387,1691,387,1694,388,1701,395,1702,399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143295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083pt;width:1.65pt;height:1.65pt;mso-position-horizontal-relative:page;mso-position-vertical-relative:paragraph;z-index:15733248" id="docshape19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“Advice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Male-Dominated</w:t>
      </w:r>
      <w:r>
        <w:rPr>
          <w:color w:val="6E6158"/>
          <w:spacing w:val="10"/>
        </w:rPr>
        <w:t> </w:t>
      </w:r>
      <w:r>
        <w:rPr>
          <w:color w:val="6E6158"/>
        </w:rPr>
        <w:t>Fields,”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0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262925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2805pt;width:1.65pt;height:1.65pt;mso-position-horizontal-relative:page;mso-position-vertical-relative:paragraph;z-index:15733760" id="docshape2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“Supreme Court Ruling Likely Spells the End for Vaccine-or-Test Federal Mandates at Large Businesses, But Numerous Caveats Apply”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142873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918pt;width:1.65pt;height:1.65pt;mso-position-horizontal-relative:page;mso-position-vertical-relative:paragraph;z-index:15734272" id="docshape2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9"/>
        </w:rPr>
        <w:t> </w:t>
      </w:r>
      <w:r>
        <w:rPr>
          <w:color w:val="6E6158"/>
        </w:rPr>
        <w:t>Insights,</w:t>
      </w:r>
      <w:r>
        <w:rPr>
          <w:color w:val="6E6158"/>
          <w:spacing w:val="19"/>
        </w:rPr>
        <w:t> </w:t>
      </w:r>
      <w:r>
        <w:rPr>
          <w:color w:val="6E6158"/>
        </w:rPr>
        <w:t>January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268220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726pt;width:1.65pt;height:1.65pt;mso-position-horizontal-relative:page;mso-position-vertical-relative:paragraph;z-index:15734784" id="docshape2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“OSHA’S Emergency Temporary Standard is Postponed Pending Review,” Firm Blog, January 2022</w:t>
      </w:r>
    </w:p>
    <w:p>
      <w:pPr>
        <w:pStyle w:val="BodyText"/>
        <w:spacing w:line="292" w:lineRule="auto" w:before="123"/>
        <w:ind w:right="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230933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3727pt;width:1.65pt;height:1.65pt;mso-position-horizontal-relative:page;mso-position-vertical-relative:paragraph;z-index:15735296" id="docshape23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“Preparing To Meet OSHA’s Est Rulings Pending Court Ruling On Constitutionality,” </w:t>
      </w:r>
      <w:r>
        <w:rPr>
          <w:color w:val="6E6158"/>
        </w:rPr>
        <w:t>HR Legal &amp; Compliance, December 2021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143266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826pt;width:1.65pt;height:1.65pt;mso-position-horizontal-relative:page;mso-position-vertical-relative:paragraph;z-index:15735808" id="docshape2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does</w:t>
      </w:r>
      <w:r>
        <w:rPr>
          <w:color w:val="6E6158"/>
          <w:spacing w:val="10"/>
        </w:rPr>
        <w:t> </w:t>
      </w:r>
      <w:r>
        <w:rPr>
          <w:color w:val="6E6158"/>
        </w:rPr>
        <w:t>OSHA’s</w:t>
      </w:r>
      <w:r>
        <w:rPr>
          <w:color w:val="6E6158"/>
          <w:spacing w:val="10"/>
        </w:rPr>
        <w:t> </w:t>
      </w:r>
      <w:r>
        <w:rPr>
          <w:color w:val="6E6158"/>
        </w:rPr>
        <w:t>EST</w:t>
      </w:r>
      <w:r>
        <w:rPr>
          <w:color w:val="6E6158"/>
          <w:spacing w:val="9"/>
        </w:rPr>
        <w:t> </w:t>
      </w:r>
      <w:r>
        <w:rPr>
          <w:color w:val="6E6158"/>
        </w:rPr>
        <w:t>ruling</w:t>
      </w:r>
      <w:r>
        <w:rPr>
          <w:color w:val="6E6158"/>
          <w:spacing w:val="10"/>
        </w:rPr>
        <w:t> </w:t>
      </w:r>
      <w:r>
        <w:rPr>
          <w:color w:val="6E6158"/>
        </w:rPr>
        <w:t>mean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builders?”</w:t>
      </w:r>
      <w:r>
        <w:rPr>
          <w:color w:val="6E6158"/>
          <w:spacing w:val="10"/>
        </w:rPr>
        <w:t> </w:t>
      </w:r>
      <w:r>
        <w:rPr>
          <w:color w:val="6E6158"/>
        </w:rPr>
        <w:t>Colorado</w:t>
      </w:r>
      <w:r>
        <w:rPr>
          <w:color w:val="6E6158"/>
          <w:spacing w:val="9"/>
        </w:rPr>
        <w:t> </w:t>
      </w:r>
      <w:r>
        <w:rPr>
          <w:color w:val="6E6158"/>
        </w:rPr>
        <w:t>Builder,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262898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647pt;width:1.65pt;height:1.65pt;mso-position-horizontal-relative:page;mso-position-vertical-relative:paragraph;z-index:15736320" id="docshape2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“Preparing to Meet OSHA’s EST Rulings Pending Court Ruling on Constitutionality,” </w:t>
      </w:r>
      <w:r>
        <w:rPr>
          <w:color w:val="6E6158"/>
        </w:rPr>
        <w:t>Law Week Colorado, November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235856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409pt;width:1.65pt;height:1.65pt;mso-position-horizontal-relative:page;mso-position-vertical-relative:paragraph;z-index:15736832" id="docshape2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“While Courts Consider OSHA’s Vaccine-or-Test Mandate ETS, Businesses Are Caught in Limbo,” Corporate Compliance Insights, November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224200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584pt;width:1.65pt;height:1.65pt;mso-position-horizontal-relative:page;mso-position-vertical-relative:paragraph;z-index:15737344" id="docshape2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“Silver Linings Provide Optimistic Future for Litigation Post-Pandemic,” </w:t>
      </w:r>
      <w:r>
        <w:rPr>
          <w:color w:val="6E6158"/>
        </w:rPr>
        <w:t>ColoradoBiz, September 2021</w:t>
      </w:r>
    </w:p>
    <w:p>
      <w:pPr>
        <w:pStyle w:val="BodyText"/>
        <w:spacing w:line="292" w:lineRule="auto" w:before="131"/>
        <w:ind w:right="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235895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463pt;width:1.65pt;height:1.65pt;mso-position-horizontal-relative:page;mso-position-vertical-relative:paragraph;z-index:15737856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“Keep an Eye Out, Employers: The Colorado Legislature Proposed Changes </w:t>
      </w:r>
      <w:r>
        <w:rPr>
          <w:color w:val="6E6158"/>
        </w:rPr>
        <w:t>to Colorado Anti-Discrimination Statute,” Law Week Colorado, May 2021</w:t>
      </w:r>
    </w:p>
    <w:p>
      <w:pPr>
        <w:pStyle w:val="BodyText"/>
        <w:spacing w:line="292" w:lineRule="auto" w:before="124"/>
        <w:ind w:righ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230992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396pt;width:1.65pt;height:1.65pt;mso-position-horizontal-relative:page;mso-position-vertical-relative:paragraph;z-index:15738368" id="docshape2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“8 Things You Need to Know About Employee Vaccinations,” Colorado Builder, March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1"/>
        <w:ind w:righ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235702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227pt;width:1.65pt;height:1.65pt;mso-position-horizontal-relative:page;mso-position-vertical-relative:paragraph;z-index:15738880" id="docshape3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“How the Pandemic Will Impact Litigation Beyond 2021,” ColoradoBiz, </w:t>
      </w:r>
      <w:r>
        <w:rPr>
          <w:color w:val="6E6158"/>
        </w:rPr>
        <w:t>December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23"/>
        <w:ind w:right="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230800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256pt;width:1.65pt;height:1.65pt;mso-position-horizontal-relative:page;mso-position-vertical-relative:paragraph;z-index:15739392" id="docshape3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“Identifying the Legal Boundaries of Employer’s GPS Use,” Texas Lawyer, </w:t>
      </w:r>
      <w:r>
        <w:rPr>
          <w:color w:val="6E6158"/>
        </w:rPr>
        <w:t>December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32"/>
        <w:ind w:righ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236145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11pt;width:1.65pt;height:1.65pt;mso-position-horizontal-relative:page;mso-position-vertical-relative:paragraph;z-index:15739904" id="docshape3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“Wellness Programs Due for Privacy Scrutiny, Experts Say, ”HealthcareDive, </w:t>
      </w:r>
      <w:r>
        <w:rPr>
          <w:color w:val="6E6158"/>
        </w:rPr>
        <w:t>October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23"/>
        <w:ind w:right="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230606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022pt;width:1.65pt;height:1.65pt;mso-position-horizontal-relative:page;mso-position-vertical-relative:paragraph;z-index:15740416" id="docshape3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“Employers take note: Americans with Disabilities Act payouts soaring in </w:t>
      </w:r>
      <w:r>
        <w:rPr>
          <w:color w:val="6E6158"/>
        </w:rPr>
        <w:t>Texas,” Dallas Business Journal, December 2014</w:t>
      </w:r>
    </w:p>
    <w:p>
      <w:pPr>
        <w:pStyle w:val="BodyText"/>
        <w:spacing w:line="292" w:lineRule="auto" w:before="131"/>
        <w:ind w:right="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235952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947pt;width:1.65pt;height:1.65pt;mso-position-horizontal-relative:page;mso-position-vertical-relative:paragraph;z-index:15740928" id="docshape3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“Dealing with a Snap Chatterbox: Social Media Use in Litigation,” Texas Association</w:t>
      </w:r>
      <w:r>
        <w:rPr>
          <w:color w:val="6E6158"/>
          <w:spacing w:val="40"/>
        </w:rPr>
        <w:t> </w:t>
      </w:r>
      <w:r>
        <w:rPr>
          <w:color w:val="6E6158"/>
        </w:rPr>
        <w:t>of Defense Counsel Annual Meeting, September 2017</w:t>
      </w:r>
    </w:p>
    <w:p>
      <w:pPr>
        <w:pStyle w:val="BodyText"/>
        <w:spacing w:line="420" w:lineRule="auto" w:before="124"/>
        <w:ind w:right="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143205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033pt;width:1.65pt;height:1.65pt;mso-position-horizontal-relative:page;mso-position-vertical-relative:paragraph;z-index:15741440" id="docshape35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401571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9778pt;width:1.65pt;height:1.65pt;mso-position-horizontal-relative:page;mso-position-vertical-relative:paragraph;z-index:15741952" id="docshape36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World of Veterinary Malpractice Claims,” Zurich Insurance, June </w:t>
      </w:r>
      <w:r>
        <w:rPr>
          <w:color w:val="6E6158"/>
        </w:rPr>
        <w:t>2017 Panelist, “Medical Malpractice isn’t Dead,” Dallas Bar Association CLE, 2016</w:t>
      </w:r>
    </w:p>
    <w:p>
      <w:pPr>
        <w:pStyle w:val="BodyText"/>
        <w:spacing w:after="0" w:line="420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2464" id="docshape3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“Defending a Claim for Malpractice and Board Actions: Defense, Damages, and Success,” Zurich Insurance, September 2015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54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152613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809pt;width:1.65pt;height:1.65pt;mso-position-horizontal-relative:page;mso-position-vertical-relative:paragraph;z-index:15742976" id="docshape38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416146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41pt;width:1.65pt;height:1.65pt;mso-position-horizontal-relative:page;mso-position-vertical-relative:paragraph;z-index:15743488" id="docshape3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Bar </w:t>
      </w:r>
      <w:r>
        <w:rPr>
          <w:color w:val="6E6158"/>
        </w:rPr>
        <w:t>Association Junior League of Denver</w:t>
      </w:r>
    </w:p>
    <w:p>
      <w:pPr>
        <w:pStyle w:val="BodyText"/>
        <w:spacing w:line="422" w:lineRule="auto"/>
        <w:ind w:right="54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63426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184pt;width:1.65pt;height:1.65pt;mso-position-horizontal-relative:page;mso-position-vertical-relative:paragraph;z-index:15744000" id="docshape40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321791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7933pt;width:1.65pt;height:1.65pt;mso-position-horizontal-relative:page;mso-position-vertical-relative:paragraph;z-index:15744512" id="docshape41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580157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81683pt;width:1.65pt;height:1.65pt;mso-position-horizontal-relative:page;mso-position-vertical-relative:paragraph;z-index:15745024" id="docshape42" coordorigin="1670,914" coordsize="33,33" path="m1691,946l1682,946,1678,945,1671,938,1670,934,1670,925,1671,922,1678,915,1682,914,1691,914,1694,915,1701,922,1702,925,1702,930,1702,934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Mile High 360 Member, Texas Bar Association Member, American Bar </w:t>
      </w:r>
      <w:r>
        <w:rPr>
          <w:color w:val="6E6158"/>
        </w:rPr>
        <w:t>Association</w:t>
      </w:r>
    </w:p>
    <w:p>
      <w:pPr>
        <w:pStyle w:val="Heading1"/>
        <w:spacing w:before="158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80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157839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296pt;width:1.65pt;height:1.65pt;mso-position-horizontal-relative:page;mso-position-vertical-relative:paragraph;z-index:15745536" id="docshape4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416204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045pt;width:1.65pt;height:1.65pt;mso-position-horizontal-relative:page;mso-position-vertical-relative:paragraph;z-index:15746048" id="docshape4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674570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5795pt;width:1.65pt;height:1.65pt;mso-position-horizontal-relative:page;mso-position-vertical-relative:paragraph;z-index:15746560" id="docshape45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Montana Texas</w:t>
      </w:r>
    </w:p>
    <w:p>
      <w:pPr>
        <w:pStyle w:val="BodyText"/>
        <w:spacing w:line="232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58542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09662pt;width:1.65pt;height:1.65pt;mso-position-horizontal-relative:page;mso-position-vertical-relative:paragraph;z-index:15747072" id="docshape46" coordorigin="1670,92" coordsize="33,33" path="m1691,125l1682,125,1678,123,1671,117,1670,113,1670,104,1671,100,1678,94,1682,92,1691,92,1694,94,1701,100,1702,104,1702,108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174933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321pt;width:1.65pt;height:1.65pt;mso-position-horizontal-relative:page;mso-position-vertical-relative:paragraph;z-index:15747584" id="docshape4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174883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367pt;width:1.65pt;height:1.65pt;mso-position-horizontal-relative:page;mso-position-vertical-relative:paragraph;z-index:15748096" id="docshape4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174833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409pt;width:1.65pt;height:1.65pt;mso-position-horizontal-relative:page;mso-position-vertical-relative:paragraph;z-index:15748608" id="docshape4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174870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3pt;width:1.65pt;height:1.65pt;mso-position-horizontal-relative:page;mso-position-vertical-relative:paragraph;z-index:15749120" id="docshape5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braig@fennemorelaw.com" TargetMode="External"/><Relationship Id="rId11" Type="http://schemas.openxmlformats.org/officeDocument/2006/relationships/hyperlink" Target="https://www.fennemorelaw.com/business-contracts-in-2025-straightforward-answers-for-nuanced-situ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Caleena S. Braig - Fennemore</dc:title>
  <dcterms:created xsi:type="dcterms:W3CDTF">2026-03-20T17:56:09Z</dcterms:created>
  <dcterms:modified xsi:type="dcterms:W3CDTF">2026-03-20T17:56:09Z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