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Barton 9943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39604" y="1369338"/>
                            <a:ext cx="2031364" cy="320675"/>
                          </a:xfrm>
                          <a:custGeom>
                            <a:avLst/>
                            <a:gdLst/>
                            <a:ahLst/>
                            <a:cxnLst/>
                            <a:rect l="l" t="t" r="r" b="b"/>
                            <a:pathLst>
                              <a:path w="2031364" h="320675">
                                <a:moveTo>
                                  <a:pt x="2030755" y="315214"/>
                                </a:moveTo>
                                <a:lnTo>
                                  <a:pt x="0" y="315214"/>
                                </a:lnTo>
                                <a:lnTo>
                                  <a:pt x="0" y="320382"/>
                                </a:lnTo>
                                <a:lnTo>
                                  <a:pt x="2030755" y="320382"/>
                                </a:lnTo>
                                <a:lnTo>
                                  <a:pt x="2030755" y="315214"/>
                                </a:lnTo>
                                <a:close/>
                              </a:path>
                              <a:path w="2031364" h="320675">
                                <a:moveTo>
                                  <a:pt x="2030755" y="0"/>
                                </a:moveTo>
                                <a:lnTo>
                                  <a:pt x="0" y="0"/>
                                </a:lnTo>
                                <a:lnTo>
                                  <a:pt x="0" y="5168"/>
                                </a:lnTo>
                                <a:lnTo>
                                  <a:pt x="2030755" y="5168"/>
                                </a:lnTo>
                                <a:lnTo>
                                  <a:pt x="2030755"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Barton 9943website" stroked="false">
                  <v:imagedata r:id="rId7" o:title=""/>
                </v:shape>
                <v:rect style="position:absolute;left:4784;top:423;width:4777;height:4126" id="docshape4" filled="true" fillcolor="#262424" stroked="false">
                  <v:fill type="solid"/>
                </v:rect>
                <v:shape style="position:absolute;left:5574;top:2156;width:3199;height:505" id="docshape5" coordorigin="5574,2156" coordsize="3199,505" path="m8772,2653l5574,2653,5574,2661,8772,2661,8772,2653xm8772,2156l5574,2156,5574,2165,8772,2165,8772,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T.</w:t>
      </w:r>
      <w:r>
        <w:rPr>
          <w:color w:val="FF8100"/>
          <w:spacing w:val="6"/>
        </w:rPr>
        <w:t> </w:t>
      </w:r>
      <w:r>
        <w:rPr>
          <w:color w:val="FF8100"/>
          <w:spacing w:val="-2"/>
        </w:rPr>
        <w:t>BARTON</w:t>
      </w:r>
    </w:p>
    <w:p>
      <w:pPr>
        <w:pStyle w:val="BodyText"/>
        <w:spacing w:line="297" w:lineRule="auto" w:before="147"/>
        <w:ind w:left="99"/>
      </w:pPr>
      <w:r>
        <w:rPr>
          <w:color w:val="6E6158"/>
        </w:rPr>
        <w:t>David Barton is an attorney in Fennemore’s Employment &amp; Labor practice group, where his</w:t>
      </w:r>
      <w:r>
        <w:rPr>
          <w:color w:val="6E6158"/>
          <w:spacing w:val="40"/>
        </w:rPr>
        <w:t> </w:t>
      </w:r>
      <w:r>
        <w:rPr>
          <w:color w:val="6E6158"/>
        </w:rPr>
        <w:t>practice focuses on labor and employment law and litigation. With a strong track record of</w:t>
      </w:r>
      <w:r>
        <w:rPr>
          <w:color w:val="6E6158"/>
          <w:spacing w:val="40"/>
        </w:rPr>
        <w:t> </w:t>
      </w:r>
      <w:r>
        <w:rPr>
          <w:color w:val="6E6158"/>
        </w:rPr>
        <w:t>defending employers in high-stakes matters, David represents clients in cases involving wrongful</w:t>
      </w:r>
      <w:r>
        <w:rPr>
          <w:color w:val="6E6158"/>
          <w:spacing w:val="40"/>
        </w:rPr>
        <w:t> </w:t>
      </w:r>
      <w:r>
        <w:rPr>
          <w:color w:val="6E6158"/>
        </w:rPr>
        <w:t>discharge, sexual harassment, disability and age discrimination, and wage and hour disputes. </w:t>
      </w:r>
      <w:r>
        <w:rPr>
          <w:color w:val="6E6158"/>
        </w:rPr>
        <w:t>He</w:t>
      </w:r>
      <w:r>
        <w:rPr>
          <w:color w:val="6E6158"/>
          <w:spacing w:val="40"/>
        </w:rPr>
        <w:t> </w:t>
      </w:r>
      <w:r>
        <w:rPr>
          <w:color w:val="6E6158"/>
        </w:rPr>
        <w:t>regularly appears before state and federal courts, as well as agencies such as the EEOC and the</w:t>
      </w:r>
      <w:r>
        <w:rPr>
          <w:color w:val="6E6158"/>
          <w:spacing w:val="40"/>
        </w:rPr>
        <w:t> </w:t>
      </w:r>
      <w:r>
        <w:rPr>
          <w:color w:val="6E6158"/>
        </w:rPr>
        <w:t>Arizona Civil Rights Division.</w:t>
      </w:r>
    </w:p>
    <w:p>
      <w:pPr>
        <w:pStyle w:val="BodyText"/>
        <w:spacing w:line="292" w:lineRule="auto" w:before="187"/>
        <w:ind w:left="99" w:right="0"/>
      </w:pPr>
      <w:r>
        <w:rPr>
          <w:color w:val="6E6158"/>
        </w:rPr>
        <w:t>David’s litigation experience spans a wide range of industries, including health care, </w:t>
      </w:r>
      <w:r>
        <w:rPr>
          <w:color w:val="6E6158"/>
        </w:rPr>
        <w:t>aviation,</w:t>
      </w:r>
      <w:r>
        <w:rPr>
          <w:color w:val="6E6158"/>
          <w:spacing w:val="40"/>
        </w:rPr>
        <w:t> </w:t>
      </w:r>
      <w:r>
        <w:rPr>
          <w:color w:val="6E6158"/>
        </w:rPr>
        <w:t>technology,</w:t>
      </w:r>
      <w:r>
        <w:rPr>
          <w:color w:val="6E6158"/>
          <w:spacing w:val="33"/>
        </w:rPr>
        <w:t> </w:t>
      </w:r>
      <w:r>
        <w:rPr>
          <w:color w:val="6E6158"/>
        </w:rPr>
        <w:t>financial</w:t>
      </w:r>
      <w:r>
        <w:rPr>
          <w:color w:val="6E6158"/>
          <w:spacing w:val="33"/>
        </w:rPr>
        <w:t> </w:t>
      </w:r>
      <w:r>
        <w:rPr>
          <w:color w:val="6E6158"/>
        </w:rPr>
        <w:t>services,</w:t>
      </w:r>
      <w:r>
        <w:rPr>
          <w:color w:val="6E6158"/>
          <w:spacing w:val="33"/>
        </w:rPr>
        <w:t> </w:t>
      </w:r>
      <w:r>
        <w:rPr>
          <w:color w:val="6E6158"/>
        </w:rPr>
        <w:t>and</w:t>
      </w:r>
      <w:r>
        <w:rPr>
          <w:color w:val="6E6158"/>
          <w:spacing w:val="33"/>
        </w:rPr>
        <w:t> </w:t>
      </w:r>
      <w:r>
        <w:rPr>
          <w:color w:val="6E6158"/>
        </w:rPr>
        <w:t>retail.</w:t>
      </w:r>
      <w:r>
        <w:rPr>
          <w:color w:val="6E6158"/>
          <w:spacing w:val="33"/>
        </w:rPr>
        <w:t> </w:t>
      </w:r>
      <w:r>
        <w:rPr>
          <w:color w:val="6E6158"/>
        </w:rPr>
        <w:t>His</w:t>
      </w:r>
      <w:r>
        <w:rPr>
          <w:color w:val="6E6158"/>
          <w:spacing w:val="33"/>
        </w:rPr>
        <w:t> </w:t>
      </w:r>
      <w:r>
        <w:rPr>
          <w:color w:val="6E6158"/>
        </w:rPr>
        <w:t>recent</w:t>
      </w:r>
      <w:r>
        <w:rPr>
          <w:color w:val="6E6158"/>
          <w:spacing w:val="33"/>
        </w:rPr>
        <w:t> </w:t>
      </w:r>
      <w:r>
        <w:rPr>
          <w:color w:val="6E6158"/>
        </w:rPr>
        <w:t>work</w:t>
      </w:r>
      <w:r>
        <w:rPr>
          <w:color w:val="6E6158"/>
          <w:spacing w:val="33"/>
        </w:rPr>
        <w:t> </w:t>
      </w:r>
      <w:r>
        <w:rPr>
          <w:color w:val="6E6158"/>
        </w:rPr>
        <w:t>includes</w:t>
      </w:r>
      <w:r>
        <w:rPr>
          <w:color w:val="6E6158"/>
          <w:spacing w:val="33"/>
        </w:rPr>
        <w:t> </w:t>
      </w:r>
      <w:r>
        <w:rPr>
          <w:color w:val="6E6158"/>
        </w:rPr>
        <w:t>securing</w:t>
      </w:r>
      <w:r>
        <w:rPr>
          <w:color w:val="6E6158"/>
          <w:spacing w:val="33"/>
        </w:rPr>
        <w:t> </w:t>
      </w:r>
      <w:r>
        <w:rPr>
          <w:color w:val="6E6158"/>
        </w:rPr>
        <w:t>multiple</w:t>
      </w:r>
      <w:r>
        <w:rPr>
          <w:color w:val="6E6158"/>
          <w:spacing w:val="33"/>
        </w:rPr>
        <w:t> </w:t>
      </w:r>
      <w:r>
        <w:rPr>
          <w:color w:val="6E6158"/>
        </w:rPr>
        <w:t>defense</w:t>
      </w:r>
    </w:p>
    <w:p>
      <w:pPr>
        <w:pStyle w:val="BodyText"/>
        <w:spacing w:line="292" w:lineRule="auto" w:before="9"/>
        <w:ind w:left="99"/>
      </w:pPr>
      <w:r>
        <w:rPr>
          <w:color w:val="6E6158"/>
        </w:rPr>
        <w:t>verdicts in complex jury trials involving claims under the Family and Medical Leave Act, Title VII,</w:t>
      </w:r>
      <w:r>
        <w:rPr>
          <w:color w:val="6E6158"/>
          <w:spacing w:val="40"/>
        </w:rPr>
        <w:t> </w:t>
      </w:r>
      <w:r>
        <w:rPr>
          <w:color w:val="6E6158"/>
        </w:rPr>
        <w:t>Section 1981, and the Americans with Disabilities Act. He has successfully defended clients in</w:t>
      </w:r>
      <w:r>
        <w:rPr>
          <w:color w:val="6E6158"/>
          <w:spacing w:val="40"/>
        </w:rPr>
        <w:t> </w:t>
      </w:r>
      <w:r>
        <w:rPr>
          <w:color w:val="6E6158"/>
        </w:rPr>
        <w:t>whistleblower</w:t>
      </w:r>
      <w:r>
        <w:rPr>
          <w:color w:val="6E6158"/>
          <w:spacing w:val="40"/>
        </w:rPr>
        <w:t> </w:t>
      </w:r>
      <w:r>
        <w:rPr>
          <w:color w:val="6E6158"/>
        </w:rPr>
        <w:t>actions,</w:t>
      </w:r>
      <w:r>
        <w:rPr>
          <w:color w:val="6E6158"/>
          <w:spacing w:val="40"/>
        </w:rPr>
        <w:t> </w:t>
      </w:r>
      <w:r>
        <w:rPr>
          <w:color w:val="6E6158"/>
        </w:rPr>
        <w:t>OSHA</w:t>
      </w:r>
      <w:r>
        <w:rPr>
          <w:color w:val="6E6158"/>
          <w:spacing w:val="40"/>
        </w:rPr>
        <w:t> </w:t>
      </w:r>
      <w:r>
        <w:rPr>
          <w:color w:val="6E6158"/>
        </w:rPr>
        <w:t>proceedings,</w:t>
      </w:r>
      <w:r>
        <w:rPr>
          <w:color w:val="6E6158"/>
          <w:spacing w:val="40"/>
        </w:rPr>
        <w:t> </w:t>
      </w:r>
      <w:r>
        <w:rPr>
          <w:color w:val="6E6158"/>
        </w:rPr>
        <w:t>and</w:t>
      </w:r>
      <w:r>
        <w:rPr>
          <w:color w:val="6E6158"/>
          <w:spacing w:val="40"/>
        </w:rPr>
        <w:t> </w:t>
      </w:r>
      <w:r>
        <w:rPr>
          <w:color w:val="6E6158"/>
        </w:rPr>
        <w:t>unfair</w:t>
      </w:r>
      <w:r>
        <w:rPr>
          <w:color w:val="6E6158"/>
          <w:spacing w:val="40"/>
        </w:rPr>
        <w:t> </w:t>
      </w:r>
      <w:r>
        <w:rPr>
          <w:color w:val="6E6158"/>
        </w:rPr>
        <w:t>competition</w:t>
      </w:r>
      <w:r>
        <w:rPr>
          <w:color w:val="6E6158"/>
          <w:spacing w:val="40"/>
        </w:rPr>
        <w:t> </w:t>
      </w:r>
      <w:r>
        <w:rPr>
          <w:color w:val="6E6158"/>
        </w:rPr>
        <w:t>disputes</w:t>
      </w:r>
      <w:r>
        <w:rPr>
          <w:color w:val="6E6158"/>
          <w:spacing w:val="40"/>
        </w:rPr>
        <w:t> </w:t>
      </w:r>
      <w:r>
        <w:rPr>
          <w:color w:val="6E6158"/>
        </w:rPr>
        <w:t>involving</w:t>
      </w:r>
      <w:r>
        <w:rPr>
          <w:color w:val="6E6158"/>
          <w:spacing w:val="40"/>
        </w:rPr>
        <w:t> </w:t>
      </w:r>
      <w:r>
        <w:rPr>
          <w:color w:val="6E6158"/>
        </w:rPr>
        <w:t>non-compete agreements and trade secrets.</w:t>
      </w:r>
    </w:p>
    <w:p>
      <w:pPr>
        <w:pStyle w:val="BodyText"/>
        <w:spacing w:line="292" w:lineRule="auto" w:before="206"/>
        <w:ind w:left="99"/>
      </w:pPr>
      <w:r>
        <w:rPr>
          <w:color w:val="6E6158"/>
        </w:rPr>
        <w:t>Notably, David has prevailed in several multi-plaintiff discrimination lawsuits and has </w:t>
      </w:r>
      <w:r>
        <w:rPr>
          <w:color w:val="6E6158"/>
        </w:rPr>
        <w:t>defended</w:t>
      </w:r>
      <w:r>
        <w:rPr>
          <w:color w:val="6E6158"/>
          <w:spacing w:val="40"/>
        </w:rPr>
        <w:t> </w:t>
      </w:r>
      <w:r>
        <w:rPr>
          <w:color w:val="6E6158"/>
        </w:rPr>
        <w:t>employers in arbitration and administrative proceedings across multiple jurisdictions. He also</w:t>
      </w:r>
      <w:r>
        <w:rPr>
          <w:color w:val="6E6158"/>
          <w:spacing w:val="40"/>
        </w:rPr>
        <w:t> </w:t>
      </w:r>
      <w:r>
        <w:rPr>
          <w:color w:val="6E6158"/>
        </w:rPr>
        <w:t>advises clients on employment contracts, executive agreements, and employee handbooks,</w:t>
      </w:r>
      <w:r>
        <w:rPr>
          <w:color w:val="6E6158"/>
          <w:spacing w:val="40"/>
        </w:rPr>
        <w:t> </w:t>
      </w:r>
      <w:r>
        <w:rPr>
          <w:color w:val="6E6158"/>
        </w:rPr>
        <w:t>helping businesses navigate compliance across various states.</w:t>
      </w:r>
    </w:p>
    <w:p>
      <w:pPr>
        <w:pStyle w:val="BodyText"/>
        <w:spacing w:line="295" w:lineRule="auto" w:before="206"/>
        <w:ind w:left="99" w:right="379"/>
      </w:pPr>
      <w:r>
        <w:rPr>
          <w:color w:val="6E6158"/>
        </w:rPr>
        <w:t>In</w:t>
      </w:r>
      <w:r>
        <w:rPr>
          <w:color w:val="6E6158"/>
          <w:spacing w:val="24"/>
        </w:rPr>
        <w:t> </w:t>
      </w:r>
      <w:r>
        <w:rPr>
          <w:color w:val="6E6158"/>
        </w:rPr>
        <w:t>addition</w:t>
      </w:r>
      <w:r>
        <w:rPr>
          <w:color w:val="6E6158"/>
          <w:spacing w:val="24"/>
        </w:rPr>
        <w:t> </w:t>
      </w:r>
      <w:r>
        <w:rPr>
          <w:color w:val="6E6158"/>
        </w:rPr>
        <w:t>to</w:t>
      </w:r>
      <w:r>
        <w:rPr>
          <w:color w:val="6E6158"/>
          <w:spacing w:val="24"/>
        </w:rPr>
        <w:t> </w:t>
      </w:r>
      <w:r>
        <w:rPr>
          <w:color w:val="6E6158"/>
        </w:rPr>
        <w:t>his</w:t>
      </w:r>
      <w:r>
        <w:rPr>
          <w:color w:val="6E6158"/>
          <w:spacing w:val="24"/>
        </w:rPr>
        <w:t> </w:t>
      </w:r>
      <w:r>
        <w:rPr>
          <w:color w:val="6E6158"/>
        </w:rPr>
        <w:t>work</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courtroom,</w:t>
      </w:r>
      <w:r>
        <w:rPr>
          <w:color w:val="6E6158"/>
          <w:spacing w:val="24"/>
        </w:rPr>
        <w:t> </w:t>
      </w:r>
      <w:r>
        <w:rPr>
          <w:color w:val="6E6158"/>
        </w:rPr>
        <w:t>David</w:t>
      </w:r>
      <w:r>
        <w:rPr>
          <w:color w:val="6E6158"/>
          <w:spacing w:val="24"/>
        </w:rPr>
        <w:t> </w:t>
      </w:r>
      <w:r>
        <w:rPr>
          <w:color w:val="6E6158"/>
        </w:rPr>
        <w:t>spends</w:t>
      </w:r>
      <w:r>
        <w:rPr>
          <w:color w:val="6E6158"/>
          <w:spacing w:val="24"/>
        </w:rPr>
        <w:t> </w:t>
      </w:r>
      <w:r>
        <w:rPr>
          <w:color w:val="6E6158"/>
        </w:rPr>
        <w:t>much</w:t>
      </w:r>
      <w:r>
        <w:rPr>
          <w:color w:val="6E6158"/>
          <w:spacing w:val="24"/>
        </w:rPr>
        <w:t> </w:t>
      </w:r>
      <w:r>
        <w:rPr>
          <w:color w:val="6E6158"/>
        </w:rPr>
        <w:t>of</w:t>
      </w:r>
      <w:r>
        <w:rPr>
          <w:color w:val="6E6158"/>
          <w:spacing w:val="24"/>
        </w:rPr>
        <w:t> </w:t>
      </w:r>
      <w:r>
        <w:rPr>
          <w:color w:val="6E6158"/>
        </w:rPr>
        <w:t>his</w:t>
      </w:r>
      <w:r>
        <w:rPr>
          <w:color w:val="6E6158"/>
          <w:spacing w:val="24"/>
        </w:rPr>
        <w:t> </w:t>
      </w:r>
      <w:r>
        <w:rPr>
          <w:color w:val="6E6158"/>
        </w:rPr>
        <w:t>time</w:t>
      </w:r>
      <w:r>
        <w:rPr>
          <w:color w:val="6E6158"/>
          <w:spacing w:val="24"/>
        </w:rPr>
        <w:t> </w:t>
      </w:r>
      <w:r>
        <w:rPr>
          <w:color w:val="6E6158"/>
        </w:rPr>
        <w:t>counseling</w:t>
      </w:r>
      <w:r>
        <w:rPr>
          <w:color w:val="6E6158"/>
          <w:spacing w:val="24"/>
        </w:rPr>
        <w:t> </w:t>
      </w:r>
      <w:r>
        <w:rPr>
          <w:color w:val="6E6158"/>
        </w:rPr>
        <w:t>with employers related to employee discipline and discharge matters. He has prepared and </w:t>
      </w:r>
      <w:r>
        <w:rPr>
          <w:color w:val="6E6158"/>
        </w:rPr>
        <w:t>regularly</w:t>
      </w:r>
      <w:r>
        <w:rPr>
          <w:color w:val="6E6158"/>
          <w:spacing w:val="40"/>
        </w:rPr>
        <w:t> </w:t>
      </w:r>
      <w:r>
        <w:rPr>
          <w:color w:val="6E6158"/>
        </w:rPr>
        <w:t>updates</w:t>
      </w:r>
      <w:r>
        <w:rPr>
          <w:color w:val="6E6158"/>
          <w:spacing w:val="18"/>
        </w:rPr>
        <w:t> </w:t>
      </w:r>
      <w:r>
        <w:rPr>
          <w:color w:val="6E6158"/>
        </w:rPr>
        <w:t>a</w:t>
      </w:r>
      <w:r>
        <w:rPr>
          <w:color w:val="6E6158"/>
          <w:spacing w:val="18"/>
        </w:rPr>
        <w:t> </w:t>
      </w:r>
      <w:r>
        <w:rPr>
          <w:color w:val="6E6158"/>
        </w:rPr>
        <w:t>form</w:t>
      </w:r>
      <w:r>
        <w:rPr>
          <w:color w:val="6E6158"/>
          <w:spacing w:val="18"/>
        </w:rPr>
        <w:t> </w:t>
      </w:r>
      <w:r>
        <w:rPr>
          <w:color w:val="6E6158"/>
        </w:rPr>
        <w:t>policy</w:t>
      </w:r>
      <w:r>
        <w:rPr>
          <w:color w:val="6E6158"/>
          <w:spacing w:val="18"/>
        </w:rPr>
        <w:t> </w:t>
      </w:r>
      <w:r>
        <w:rPr>
          <w:color w:val="6E6158"/>
        </w:rPr>
        <w:t>manual</w:t>
      </w:r>
      <w:r>
        <w:rPr>
          <w:color w:val="6E6158"/>
          <w:spacing w:val="18"/>
        </w:rPr>
        <w:t> </w:t>
      </w:r>
      <w:r>
        <w:rPr>
          <w:color w:val="6E6158"/>
        </w:rPr>
        <w:t>that</w:t>
      </w:r>
      <w:r>
        <w:rPr>
          <w:color w:val="6E6158"/>
          <w:spacing w:val="18"/>
        </w:rPr>
        <w:t> </w:t>
      </w:r>
      <w:r>
        <w:rPr>
          <w:color w:val="6E6158"/>
        </w:rPr>
        <w:t>he</w:t>
      </w:r>
      <w:r>
        <w:rPr>
          <w:color w:val="6E6158"/>
          <w:spacing w:val="18"/>
        </w:rPr>
        <w:t> </w:t>
      </w:r>
      <w:r>
        <w:rPr>
          <w:color w:val="6E6158"/>
        </w:rPr>
        <w:t>uses</w:t>
      </w:r>
      <w:r>
        <w:rPr>
          <w:color w:val="6E6158"/>
          <w:spacing w:val="18"/>
        </w:rPr>
        <w:t> </w:t>
      </w:r>
      <w:r>
        <w:rPr>
          <w:color w:val="6E6158"/>
        </w:rPr>
        <w:t>to</w:t>
      </w:r>
      <w:r>
        <w:rPr>
          <w:color w:val="6E6158"/>
          <w:spacing w:val="18"/>
        </w:rPr>
        <w:t> </w:t>
      </w:r>
      <w:r>
        <w:rPr>
          <w:color w:val="6E6158"/>
        </w:rPr>
        <w:t>assist</w:t>
      </w:r>
      <w:r>
        <w:rPr>
          <w:color w:val="6E6158"/>
          <w:spacing w:val="18"/>
        </w:rPr>
        <w:t> </w:t>
      </w:r>
      <w:r>
        <w:rPr>
          <w:color w:val="6E6158"/>
        </w:rPr>
        <w:t>employers</w:t>
      </w:r>
      <w:r>
        <w:rPr>
          <w:color w:val="6E6158"/>
          <w:spacing w:val="18"/>
        </w:rPr>
        <w:t> </w:t>
      </w:r>
      <w:r>
        <w:rPr>
          <w:color w:val="6E6158"/>
        </w:rPr>
        <w:t>in</w:t>
      </w:r>
      <w:r>
        <w:rPr>
          <w:color w:val="6E6158"/>
          <w:spacing w:val="18"/>
        </w:rPr>
        <w:t> </w:t>
      </w:r>
      <w:r>
        <w:rPr>
          <w:color w:val="6E6158"/>
        </w:rPr>
        <w:t>the</w:t>
      </w:r>
      <w:r>
        <w:rPr>
          <w:color w:val="6E6158"/>
          <w:spacing w:val="18"/>
        </w:rPr>
        <w:t> </w:t>
      </w:r>
      <w:r>
        <w:rPr>
          <w:color w:val="6E6158"/>
        </w:rPr>
        <w:t>creation</w:t>
      </w:r>
      <w:r>
        <w:rPr>
          <w:color w:val="6E6158"/>
          <w:spacing w:val="18"/>
        </w:rPr>
        <w:t> </w:t>
      </w:r>
      <w:r>
        <w:rPr>
          <w:color w:val="6E6158"/>
        </w:rPr>
        <w:t>and</w:t>
      </w:r>
      <w:r>
        <w:rPr>
          <w:color w:val="6E6158"/>
          <w:spacing w:val="18"/>
        </w:rPr>
        <w:t> </w:t>
      </w:r>
      <w:r>
        <w:rPr>
          <w:color w:val="6E6158"/>
        </w:rPr>
        <w:t>improvement of employee policies and handbooks. He is particularly adept at guiding employers through</w:t>
      </w:r>
      <w:r>
        <w:rPr>
          <w:color w:val="6E6158"/>
          <w:spacing w:val="40"/>
        </w:rPr>
        <w:t> </w:t>
      </w:r>
      <w:r>
        <w:rPr>
          <w:color w:val="6E6158"/>
        </w:rPr>
        <w:t>reductions in force and layoffs and has helped executives from several companies negotiate</w:t>
      </w:r>
      <w:r>
        <w:rPr>
          <w:color w:val="6E6158"/>
          <w:spacing w:val="40"/>
        </w:rPr>
        <w:t> </w:t>
      </w:r>
      <w:r>
        <w:rPr>
          <w:color w:val="6E6158"/>
        </w:rPr>
        <w:t>favorable agreements during mergers and acquisitions.</w:t>
      </w:r>
    </w:p>
    <w:p>
      <w:pPr>
        <w:pStyle w:val="BodyText"/>
        <w:spacing w:before="193"/>
        <w:ind w:left="99" w:right="0"/>
        <w:jc w:val="both"/>
      </w:pPr>
      <w:r>
        <w:rPr>
          <w:color w:val="6E6158"/>
        </w:rPr>
        <w:t>Prior</w:t>
      </w:r>
      <w:r>
        <w:rPr>
          <w:color w:val="6E6158"/>
          <w:spacing w:val="10"/>
        </w:rPr>
        <w:t> </w:t>
      </w:r>
      <w:r>
        <w:rPr>
          <w:color w:val="6E6158"/>
        </w:rPr>
        <w:t>to</w:t>
      </w:r>
      <w:r>
        <w:rPr>
          <w:color w:val="6E6158"/>
          <w:spacing w:val="10"/>
        </w:rPr>
        <w:t> </w:t>
      </w:r>
      <w:r>
        <w:rPr>
          <w:color w:val="6E6158"/>
        </w:rPr>
        <w:t>joining</w:t>
      </w:r>
      <w:r>
        <w:rPr>
          <w:color w:val="6E6158"/>
          <w:spacing w:val="11"/>
        </w:rPr>
        <w:t> </w:t>
      </w:r>
      <w:r>
        <w:rPr>
          <w:color w:val="6E6158"/>
        </w:rPr>
        <w:t>Fennemore,</w:t>
      </w:r>
      <w:r>
        <w:rPr>
          <w:color w:val="6E6158"/>
          <w:spacing w:val="10"/>
        </w:rPr>
        <w:t> </w:t>
      </w:r>
      <w:r>
        <w:rPr>
          <w:color w:val="6E6158"/>
        </w:rPr>
        <w:t>David</w:t>
      </w:r>
      <w:r>
        <w:rPr>
          <w:color w:val="6E6158"/>
          <w:spacing w:val="11"/>
        </w:rPr>
        <w:t> </w:t>
      </w:r>
      <w:r>
        <w:rPr>
          <w:color w:val="6E6158"/>
        </w:rPr>
        <w:t>and</w:t>
      </w:r>
      <w:r>
        <w:rPr>
          <w:color w:val="6E6158"/>
          <w:spacing w:val="10"/>
        </w:rPr>
        <w:t> </w:t>
      </w:r>
      <w:r>
        <w:rPr>
          <w:color w:val="6E6158"/>
        </w:rPr>
        <w:t>his</w:t>
      </w:r>
      <w:r>
        <w:rPr>
          <w:color w:val="6E6158"/>
          <w:spacing w:val="11"/>
        </w:rPr>
        <w:t> </w:t>
      </w:r>
      <w:r>
        <w:rPr>
          <w:color w:val="6E6158"/>
        </w:rPr>
        <w:t>partner,</w:t>
      </w:r>
      <w:r>
        <w:rPr>
          <w:color w:val="6E6158"/>
          <w:spacing w:val="10"/>
        </w:rPr>
        <w:t> </w:t>
      </w:r>
      <w:r>
        <w:rPr>
          <w:color w:val="6E6158"/>
        </w:rPr>
        <w:t>Christine</w:t>
      </w:r>
      <w:r>
        <w:rPr>
          <w:color w:val="6E6158"/>
          <w:spacing w:val="11"/>
        </w:rPr>
        <w:t> </w:t>
      </w:r>
      <w:r>
        <w:rPr>
          <w:color w:val="6E6158"/>
        </w:rPr>
        <w:t>Burns,</w:t>
      </w:r>
      <w:r>
        <w:rPr>
          <w:color w:val="6E6158"/>
          <w:spacing w:val="10"/>
        </w:rPr>
        <w:t> </w:t>
      </w:r>
      <w:r>
        <w:rPr>
          <w:color w:val="6E6158"/>
        </w:rPr>
        <w:t>founded</w:t>
      </w:r>
      <w:r>
        <w:rPr>
          <w:color w:val="6E6158"/>
          <w:spacing w:val="10"/>
        </w:rPr>
        <w:t> </w:t>
      </w:r>
      <w:r>
        <w:rPr>
          <w:color w:val="6E6158"/>
        </w:rPr>
        <w:t>the</w:t>
      </w:r>
      <w:r>
        <w:rPr>
          <w:color w:val="6E6158"/>
          <w:spacing w:val="11"/>
        </w:rPr>
        <w:t> </w:t>
      </w:r>
      <w:r>
        <w:rPr>
          <w:color w:val="6E6158"/>
          <w:spacing w:val="-2"/>
        </w:rPr>
        <w:t>boutique</w:t>
      </w:r>
    </w:p>
    <w:p>
      <w:pPr>
        <w:pStyle w:val="BodyText"/>
        <w:spacing w:line="292" w:lineRule="auto" w:before="60"/>
        <w:ind w:left="99" w:right="781"/>
        <w:jc w:val="both"/>
      </w:pPr>
      <w:r>
        <w:rPr>
          <w:color w:val="6E6158"/>
        </w:rPr>
        <w:t>employment law firm, BurnsBarton, PLC, where they practiced in Phoenix for over 12 years. He also previously served with the Utah Attorney General’s Office and Johnson and Hatch in Salt Lake City.</w:t>
      </w:r>
    </w:p>
    <w:p>
      <w:pPr>
        <w:pStyle w:val="BodyText"/>
        <w:spacing w:line="302" w:lineRule="auto" w:before="197"/>
        <w:ind w:left="99" w:right="770"/>
        <w:jc w:val="both"/>
      </w:pPr>
      <w:r>
        <w:rPr>
          <w:color w:val="6E6158"/>
        </w:rPr>
        <w:t>His depth of experience and practical approach make him a trusted advocate for </w:t>
      </w:r>
      <w:r>
        <w:rPr>
          <w:color w:val="6E6158"/>
        </w:rPr>
        <w:t>employers facing challenging legal issues in the workplace.</w:t>
      </w:r>
    </w:p>
    <w:p>
      <w:pPr>
        <w:pStyle w:val="Heading1"/>
      </w:pPr>
      <w:r>
        <w:rPr>
          <w:color w:val="FF8100"/>
          <w:spacing w:val="-2"/>
        </w:rPr>
        <w:t>EDUCATION</w:t>
      </w:r>
    </w:p>
    <w:p>
      <w:pPr>
        <w:pStyle w:val="Heading1"/>
        <w:spacing w:after="0"/>
        <w:sectPr>
          <w:type w:val="continuous"/>
          <w:pgSz w:w="12240" w:h="15840"/>
          <w:pgMar w:top="560" w:bottom="280" w:left="1440" w:right="1080"/>
        </w:sectPr>
      </w:pPr>
    </w:p>
    <w:p>
      <w:pPr>
        <w:pStyle w:val="BodyText"/>
        <w:spacing w:before="73"/>
        <w:ind w:right="0"/>
        <w:rPr>
          <w:i/>
          <w:sz w:val="20"/>
        </w:rPr>
      </w:pPr>
      <w:r>
        <w:rPr>
          <w:color w:val="6E6158"/>
        </w:rPr>
        <w:t>J.D.,</w:t>
      </w:r>
      <w:r>
        <w:rPr>
          <w:color w:val="6E6158"/>
          <w:spacing w:val="5"/>
        </w:rPr>
        <w:t> </w:t>
      </w:r>
      <w:r>
        <w:rPr>
          <w:color w:val="6E6158"/>
        </w:rPr>
        <w:t>Brigham</w:t>
      </w:r>
      <w:r>
        <w:rPr>
          <w:color w:val="6E6158"/>
          <w:spacing w:val="5"/>
        </w:rPr>
        <w:t> </w:t>
      </w:r>
      <w:r>
        <w:rPr>
          <w:color w:val="6E6158"/>
        </w:rPr>
        <w:t>Young</w:t>
      </w:r>
      <w:r>
        <w:rPr>
          <w:color w:val="6E6158"/>
          <w:spacing w:val="6"/>
        </w:rPr>
        <w:t> </w:t>
      </w:r>
      <w:r>
        <w:rPr>
          <w:color w:val="6E6158"/>
        </w:rPr>
        <w:t>University,</w:t>
      </w:r>
      <w:r>
        <w:rPr>
          <w:color w:val="6E6158"/>
          <w:spacing w:val="5"/>
        </w:rPr>
        <w:t> </w:t>
      </w:r>
      <w:r>
        <w:rPr>
          <w:color w:val="6E6158"/>
        </w:rPr>
        <w:t>J.</w:t>
      </w:r>
      <w:r>
        <w:rPr>
          <w:color w:val="6E6158"/>
          <w:spacing w:val="5"/>
        </w:rPr>
        <w:t> </w:t>
      </w:r>
      <w:r>
        <w:rPr>
          <w:color w:val="6E6158"/>
        </w:rPr>
        <w:t>Reuben</w:t>
      </w:r>
      <w:r>
        <w:rPr>
          <w:color w:val="6E6158"/>
          <w:spacing w:val="6"/>
        </w:rPr>
        <w:t> </w:t>
      </w:r>
      <w:r>
        <w:rPr>
          <w:color w:val="6E6158"/>
        </w:rPr>
        <w:t>Clark</w:t>
      </w:r>
      <w:r>
        <w:rPr>
          <w:color w:val="6E6158"/>
          <w:spacing w:val="5"/>
        </w:rPr>
        <w:t> </w:t>
      </w:r>
      <w:r>
        <w:rPr>
          <w:color w:val="6E6158"/>
        </w:rPr>
        <w:t>Law</w:t>
      </w:r>
      <w:r>
        <w:rPr>
          <w:color w:val="6E6158"/>
          <w:spacing w:val="5"/>
        </w:rPr>
        <w:t> </w:t>
      </w:r>
      <w:r>
        <w:rPr>
          <w:color w:val="6E6158"/>
        </w:rPr>
        <w:t>School,</w:t>
      </w:r>
      <w:r>
        <w:rPr>
          <w:color w:val="6E6158"/>
          <w:spacing w:val="6"/>
        </w:rPr>
        <w:t> </w:t>
      </w:r>
      <w:r>
        <w:rPr>
          <w:i/>
          <w:color w:val="6E6158"/>
          <w:sz w:val="20"/>
        </w:rPr>
        <w:t>magna</w:t>
      </w:r>
      <w:r>
        <w:rPr>
          <w:i/>
          <w:color w:val="6E6158"/>
          <w:spacing w:val="2"/>
          <w:sz w:val="20"/>
        </w:rPr>
        <w:t> </w:t>
      </w:r>
      <w:r>
        <w:rPr>
          <w:i/>
          <w:color w:val="6E6158"/>
          <w:sz w:val="20"/>
        </w:rPr>
        <w:t>cum</w:t>
      </w:r>
      <w:r>
        <w:rPr>
          <w:i/>
          <w:color w:val="6E6158"/>
          <w:spacing w:val="2"/>
          <w:sz w:val="20"/>
        </w:rPr>
        <w:t> </w:t>
      </w:r>
      <w:r>
        <w:rPr>
          <w:i/>
          <w:color w:val="6E6158"/>
          <w:spacing w:val="-2"/>
          <w:sz w:val="20"/>
        </w:rPr>
        <w:t>laude</w:t>
      </w:r>
    </w:p>
    <w:p>
      <w:pPr>
        <w:pStyle w:val="BodyText"/>
        <w:spacing w:line="427" w:lineRule="auto" w:before="50"/>
        <w:ind w:left="848" w:right="4628"/>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132563</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438043pt;width:1.65pt;height:1.65pt;mso-position-horizontal-relative:page;mso-position-vertical-relative:paragraph;z-index:15729152" id="docshape7" coordorigin="1670,209" coordsize="33,33" path="m1691,241l1682,241,1678,240,1671,233,1670,230,1670,221,1671,217,1678,210,1682,209,1691,209,1694,210,1701,217,1702,221,1702,225,1702,230,1701,233,1694,240,1691,24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1375552</wp:posOffset>
                </wp:positionH>
                <wp:positionV relativeFrom="paragraph">
                  <wp:posOffset>96391</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7.589884pt;width:1.65pt;height:1.65pt;mso-position-horizontal-relative:page;mso-position-vertical-relative:paragraph;z-index:15729664" id="docshape8" coordorigin="2166,152" coordsize="33,33" path="m2187,184l2178,184,2174,183,2168,176,2166,173,2166,164,2168,160,2174,153,2178,152,2187,152,2191,153,2197,160,2199,164,2199,168,2199,173,2197,176,2191,183,2187,18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1375552</wp:posOffset>
                </wp:positionH>
                <wp:positionV relativeFrom="paragraph">
                  <wp:posOffset>354757</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27.93363pt;width:1.65pt;height:1.65pt;mso-position-horizontal-relative:page;mso-position-vertical-relative:paragraph;z-index:15730176" id="docshape9" coordorigin="2166,559" coordsize="33,33" path="m2187,591l2178,591,2174,590,2168,583,2166,579,2166,570,2168,567,2174,560,2178,559,2187,559,2191,560,2197,567,2199,570,2199,575,2199,579,2197,583,2191,590,2187,591xe" filled="true" fillcolor="#090909" stroked="false">
                <v:path arrowok="t"/>
                <v:fill type="solid"/>
                <w10:wrap type="none"/>
              </v:shape>
            </w:pict>
          </mc:Fallback>
        </mc:AlternateContent>
      </w:r>
      <w:r>
        <w:rPr>
          <w:color w:val="6E6158"/>
        </w:rPr>
        <w:t>Articles Editor, Brigham Young Law </w:t>
      </w:r>
      <w:r>
        <w:rPr>
          <w:color w:val="6E6158"/>
        </w:rPr>
        <w:t>Review Order of the Coif</w:t>
      </w:r>
    </w:p>
    <w:p>
      <w:pPr>
        <w:spacing w:line="228" w:lineRule="exact" w:before="0"/>
        <w:ind w:left="351" w:right="0" w:firstLine="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54756</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11550pt;width:1.65pt;height:1.65pt;mso-position-horizontal-relative:page;mso-position-vertical-relative:paragraph;z-index:15730688" id="docshape10" coordorigin="1670,86" coordsize="33,33" path="m1691,119l1682,119,1678,117,1671,111,1670,107,1670,98,1671,94,1678,88,1682,86,1691,86,1694,88,1701,94,1702,98,1702,103,1702,107,1701,111,1694,117,1691,119xe" filled="true" fillcolor="#090909" stroked="false">
                <v:path arrowok="t"/>
                <v:fill type="solid"/>
                <w10:wrap type="none"/>
              </v:shape>
            </w:pict>
          </mc:Fallback>
        </mc:AlternateContent>
      </w:r>
      <w:r>
        <w:rPr>
          <w:color w:val="6E6158"/>
          <w:sz w:val="19"/>
        </w:rPr>
        <w:t>B.A.,</w:t>
      </w:r>
      <w:r>
        <w:rPr>
          <w:color w:val="6E6158"/>
          <w:spacing w:val="1"/>
          <w:sz w:val="19"/>
        </w:rPr>
        <w:t> </w:t>
      </w:r>
      <w:r>
        <w:rPr>
          <w:color w:val="6E6158"/>
          <w:sz w:val="19"/>
        </w:rPr>
        <w:t>Brigham</w:t>
      </w:r>
      <w:r>
        <w:rPr>
          <w:color w:val="6E6158"/>
          <w:spacing w:val="1"/>
          <w:sz w:val="19"/>
        </w:rPr>
        <w:t> </w:t>
      </w:r>
      <w:r>
        <w:rPr>
          <w:color w:val="6E6158"/>
          <w:sz w:val="19"/>
        </w:rPr>
        <w:t>Young</w:t>
      </w:r>
      <w:r>
        <w:rPr>
          <w:color w:val="6E6158"/>
          <w:spacing w:val="1"/>
          <w:sz w:val="19"/>
        </w:rPr>
        <w:t> </w:t>
      </w:r>
      <w:r>
        <w:rPr>
          <w:color w:val="6E6158"/>
          <w:sz w:val="19"/>
        </w:rPr>
        <w:t>University,</w:t>
      </w:r>
      <w:r>
        <w:rPr>
          <w:color w:val="6E6158"/>
          <w:spacing w:val="1"/>
          <w:sz w:val="19"/>
        </w:rPr>
        <w:t> </w:t>
      </w:r>
      <w:r>
        <w:rPr>
          <w:i/>
          <w:color w:val="6E6158"/>
          <w:sz w:val="20"/>
        </w:rPr>
        <w:t>magna</w:t>
      </w:r>
      <w:r>
        <w:rPr>
          <w:i/>
          <w:color w:val="6E6158"/>
          <w:spacing w:val="-2"/>
          <w:sz w:val="20"/>
        </w:rPr>
        <w:t> </w:t>
      </w:r>
      <w:r>
        <w:rPr>
          <w:i/>
          <w:color w:val="6E6158"/>
          <w:sz w:val="20"/>
        </w:rPr>
        <w:t>cum</w:t>
      </w:r>
      <w:r>
        <w:rPr>
          <w:i/>
          <w:color w:val="6E6158"/>
          <w:spacing w:val="-2"/>
          <w:sz w:val="20"/>
        </w:rPr>
        <w:t> laude</w:t>
      </w:r>
    </w:p>
    <w:p>
      <w:pPr>
        <w:pStyle w:val="BodyText"/>
        <w:spacing w:before="38"/>
        <w:ind w:left="0" w:right="0"/>
        <w:rPr>
          <w:i/>
          <w:sz w:val="24"/>
        </w:rPr>
      </w:pPr>
    </w:p>
    <w:p>
      <w:pPr>
        <w:pStyle w:val="Heading1"/>
        <w:spacing w:before="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6"/>
        <w:ind w:right="6732"/>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157591</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8798pt;width:1.65pt;height:1.65pt;mso-position-horizontal-relative:page;mso-position-vertical-relative:paragraph;z-index:15731200" id="docshape11"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415957</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548pt;width:1.65pt;height:1.65pt;mso-position-horizontal-relative:page;mso-position-vertical-relative:paragraph;z-index:15731712" id="docshape12"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Labor &amp; </w:t>
      </w:r>
      <w:r>
        <w:rPr>
          <w:color w:val="6E6158"/>
        </w:rPr>
        <w:t>Employment Business Litigation</w:t>
      </w:r>
    </w:p>
    <w:p>
      <w:pPr>
        <w:pStyle w:val="Heading1"/>
        <w:spacing w:before="168"/>
      </w:pPr>
      <w:r>
        <w:rPr>
          <w:color w:val="FF8100"/>
        </w:rPr>
        <w:t>REPRESENTATIVE</w:t>
      </w:r>
      <w:r>
        <w:rPr>
          <w:color w:val="FF8100"/>
          <w:spacing w:val="19"/>
        </w:rPr>
        <w:t> </w:t>
      </w:r>
      <w:r>
        <w:rPr>
          <w:color w:val="FF8100"/>
          <w:spacing w:val="-2"/>
        </w:rPr>
        <w:t>MATTERS</w:t>
      </w:r>
    </w:p>
    <w:p>
      <w:pPr>
        <w:pStyle w:val="BodyText"/>
        <w:spacing w:line="292" w:lineRule="auto" w:before="14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245731</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48965pt;width:1.65pt;height:1.65pt;mso-position-horizontal-relative:page;mso-position-vertical-relative:paragraph;z-index:15732224" id="docshape13"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Successfully defended a healthcare provider in class action litigation brought by the EEOC for</w:t>
      </w:r>
      <w:r>
        <w:rPr>
          <w:color w:val="6E6158"/>
          <w:spacing w:val="40"/>
        </w:rPr>
        <w:t> </w:t>
      </w:r>
      <w:r>
        <w:rPr>
          <w:color w:val="6E6158"/>
        </w:rPr>
        <w:t>alleged discrimination under the ADA.</w:t>
      </w:r>
    </w:p>
    <w:p>
      <w:pPr>
        <w:pStyle w:val="BodyText"/>
        <w:spacing w:line="295" w:lineRule="auto"/>
        <w:ind w:right="663"/>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416692</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10410pt;width:1.65pt;height:1.65pt;mso-position-horizontal-relative:page;mso-position-vertical-relative:paragraph;z-index:15732736" id="docshape14" coordorigin="1670,656" coordsize="33,33" path="m1691,689l1682,689,1678,687,1671,681,1670,677,1670,668,1671,664,1678,658,1682,656,1691,656,1694,658,1701,664,1702,668,1702,672,1702,677,1701,681,1694,687,1691,689xe" filled="true" fillcolor="#090909" stroked="false">
                <v:path arrowok="t"/>
                <v:fill type="solid"/>
                <w10:wrap type="none"/>
              </v:shape>
            </w:pict>
          </mc:Fallback>
        </mc:AlternateContent>
      </w:r>
      <w:r>
        <w:rPr>
          <w:color w:val="6E6158"/>
        </w:rPr>
        <w:t>Successfully appealed an adverse finding from the New Mexico Labor and Industrial Commission and obtained a reversal of that decision from the Labor Relations Division of the</w:t>
      </w:r>
      <w:r>
        <w:rPr>
          <w:color w:val="6E6158"/>
          <w:spacing w:val="40"/>
        </w:rPr>
        <w:t> </w:t>
      </w:r>
      <w:r>
        <w:rPr>
          <w:color w:val="6E6158"/>
        </w:rPr>
        <w:t>New</w:t>
      </w:r>
      <w:r>
        <w:rPr>
          <w:color w:val="6E6158"/>
          <w:spacing w:val="30"/>
        </w:rPr>
        <w:t> </w:t>
      </w:r>
      <w:r>
        <w:rPr>
          <w:color w:val="6E6158"/>
        </w:rPr>
        <w:t>Mexico</w:t>
      </w:r>
      <w:r>
        <w:rPr>
          <w:color w:val="6E6158"/>
          <w:spacing w:val="30"/>
        </w:rPr>
        <w:t> </w:t>
      </w:r>
      <w:r>
        <w:rPr>
          <w:color w:val="6E6158"/>
        </w:rPr>
        <w:t>Department</w:t>
      </w:r>
      <w:r>
        <w:rPr>
          <w:color w:val="6E6158"/>
          <w:spacing w:val="30"/>
        </w:rPr>
        <w:t> </w:t>
      </w:r>
      <w:r>
        <w:rPr>
          <w:color w:val="6E6158"/>
        </w:rPr>
        <w:t>of</w:t>
      </w:r>
      <w:r>
        <w:rPr>
          <w:color w:val="6E6158"/>
          <w:spacing w:val="30"/>
        </w:rPr>
        <w:t> </w:t>
      </w:r>
      <w:r>
        <w:rPr>
          <w:color w:val="6E6158"/>
        </w:rPr>
        <w:t>Workforce</w:t>
      </w:r>
      <w:r>
        <w:rPr>
          <w:color w:val="6E6158"/>
          <w:spacing w:val="30"/>
        </w:rPr>
        <w:t> </w:t>
      </w:r>
      <w:r>
        <w:rPr>
          <w:color w:val="6E6158"/>
        </w:rPr>
        <w:t>Solutions</w:t>
      </w:r>
      <w:r>
        <w:rPr>
          <w:color w:val="6E6158"/>
          <w:spacing w:val="30"/>
        </w:rPr>
        <w:t> </w:t>
      </w:r>
      <w:r>
        <w:rPr>
          <w:color w:val="6E6158"/>
        </w:rPr>
        <w:t>related</w:t>
      </w:r>
      <w:r>
        <w:rPr>
          <w:color w:val="6E6158"/>
          <w:spacing w:val="30"/>
        </w:rPr>
        <w:t> </w:t>
      </w:r>
      <w:r>
        <w:rPr>
          <w:color w:val="6E6158"/>
        </w:rPr>
        <w:t>to</w:t>
      </w:r>
      <w:r>
        <w:rPr>
          <w:color w:val="6E6158"/>
          <w:spacing w:val="30"/>
        </w:rPr>
        <w:t> </w:t>
      </w:r>
      <w:r>
        <w:rPr>
          <w:color w:val="6E6158"/>
        </w:rPr>
        <w:t>alleged</w:t>
      </w:r>
      <w:r>
        <w:rPr>
          <w:color w:val="6E6158"/>
          <w:spacing w:val="30"/>
        </w:rPr>
        <w:t> </w:t>
      </w:r>
      <w:r>
        <w:rPr>
          <w:color w:val="6E6158"/>
        </w:rPr>
        <w:t>violations</w:t>
      </w:r>
      <w:r>
        <w:rPr>
          <w:color w:val="6E6158"/>
          <w:spacing w:val="30"/>
        </w:rPr>
        <w:t> </w:t>
      </w:r>
      <w:r>
        <w:rPr>
          <w:color w:val="6E6158"/>
        </w:rPr>
        <w:t>of</w:t>
      </w:r>
      <w:r>
        <w:rPr>
          <w:color w:val="6E6158"/>
          <w:spacing w:val="30"/>
        </w:rPr>
        <w:t> </w:t>
      </w:r>
      <w:r>
        <w:rPr>
          <w:color w:val="6E6158"/>
        </w:rPr>
        <w:t>the</w:t>
      </w:r>
      <w:r>
        <w:rPr>
          <w:color w:val="6E6158"/>
          <w:spacing w:val="30"/>
        </w:rPr>
        <w:t> </w:t>
      </w:r>
      <w:r>
        <w:rPr>
          <w:color w:val="6E6158"/>
        </w:rPr>
        <w:t>Davis-Bacon Act and the New Mexico Public Works Minimum Wage Act.</w:t>
      </w:r>
    </w:p>
    <w:p>
      <w:pPr>
        <w:pStyle w:val="BodyText"/>
        <w:spacing w:line="302" w:lineRule="auto"/>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236037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5632pt;width:1.65pt;height:1.65pt;mso-position-horizontal-relative:page;mso-position-vertical-relative:paragraph;z-index:15733248" id="docshape15"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Defeated an application for a preliminary injunction in a gender discrimination case </w:t>
      </w:r>
      <w:r>
        <w:rPr>
          <w:color w:val="6E6158"/>
        </w:rPr>
        <w:t>and successfully</w:t>
      </w:r>
      <w:r>
        <w:rPr>
          <w:color w:val="6E6158"/>
          <w:spacing w:val="7"/>
        </w:rPr>
        <w:t> </w:t>
      </w:r>
      <w:r>
        <w:rPr>
          <w:color w:val="6E6158"/>
        </w:rPr>
        <w:t>defended</w:t>
      </w:r>
      <w:r>
        <w:rPr>
          <w:color w:val="6E6158"/>
          <w:spacing w:val="7"/>
        </w:rPr>
        <w:t> </w:t>
      </w:r>
      <w:r>
        <w:rPr>
          <w:color w:val="6E6158"/>
        </w:rPr>
        <w:t>that</w:t>
      </w:r>
      <w:r>
        <w:rPr>
          <w:color w:val="6E6158"/>
          <w:spacing w:val="7"/>
        </w:rPr>
        <w:t> </w:t>
      </w:r>
      <w:r>
        <w:rPr>
          <w:color w:val="6E6158"/>
        </w:rPr>
        <w:t>decision</w:t>
      </w:r>
      <w:r>
        <w:rPr>
          <w:color w:val="6E6158"/>
          <w:spacing w:val="7"/>
        </w:rPr>
        <w:t> </w:t>
      </w:r>
      <w:r>
        <w:rPr>
          <w:color w:val="6E6158"/>
        </w:rPr>
        <w:t>on</w:t>
      </w:r>
      <w:r>
        <w:rPr>
          <w:color w:val="6E6158"/>
          <w:spacing w:val="8"/>
        </w:rPr>
        <w:t> </w:t>
      </w:r>
      <w:r>
        <w:rPr>
          <w:color w:val="6E6158"/>
        </w:rPr>
        <w:t>appeal.</w:t>
      </w:r>
      <w:r>
        <w:rPr>
          <w:color w:val="6E6158"/>
          <w:spacing w:val="7"/>
        </w:rPr>
        <w:t> </w:t>
      </w:r>
      <w:r>
        <w:rPr>
          <w:color w:val="6E6158"/>
        </w:rPr>
        <w:t>Doe</w:t>
      </w:r>
      <w:r>
        <w:rPr>
          <w:color w:val="6E6158"/>
          <w:spacing w:val="7"/>
        </w:rPr>
        <w:t> </w:t>
      </w:r>
      <w:r>
        <w:rPr>
          <w:color w:val="6E6158"/>
        </w:rPr>
        <w:t>v.</w:t>
      </w:r>
      <w:r>
        <w:rPr>
          <w:color w:val="6E6158"/>
          <w:spacing w:val="7"/>
        </w:rPr>
        <w:t> </w:t>
      </w:r>
      <w:r>
        <w:rPr>
          <w:color w:val="6E6158"/>
        </w:rPr>
        <w:t>Snyder,</w:t>
      </w:r>
      <w:r>
        <w:rPr>
          <w:color w:val="6E6158"/>
          <w:spacing w:val="7"/>
        </w:rPr>
        <w:t> </w:t>
      </w:r>
      <w:r>
        <w:rPr>
          <w:color w:val="6E6158"/>
        </w:rPr>
        <w:t>28</w:t>
      </w:r>
      <w:r>
        <w:rPr>
          <w:color w:val="6E6158"/>
          <w:spacing w:val="8"/>
        </w:rPr>
        <w:t> </w:t>
      </w:r>
      <w:r>
        <w:rPr>
          <w:color w:val="6E6158"/>
        </w:rPr>
        <w:t>F.4th</w:t>
      </w:r>
      <w:r>
        <w:rPr>
          <w:color w:val="6E6158"/>
          <w:spacing w:val="7"/>
        </w:rPr>
        <w:t> </w:t>
      </w:r>
      <w:r>
        <w:rPr>
          <w:color w:val="6E6158"/>
        </w:rPr>
        <w:t>103</w:t>
      </w:r>
      <w:r>
        <w:rPr>
          <w:color w:val="6E6158"/>
          <w:spacing w:val="7"/>
        </w:rPr>
        <w:t> </w:t>
      </w:r>
      <w:r>
        <w:rPr>
          <w:color w:val="6E6158"/>
        </w:rPr>
        <w:t>(9th</w:t>
      </w:r>
      <w:r>
        <w:rPr>
          <w:color w:val="6E6158"/>
          <w:spacing w:val="7"/>
        </w:rPr>
        <w:t> </w:t>
      </w:r>
      <w:r>
        <w:rPr>
          <w:color w:val="6E6158"/>
        </w:rPr>
        <w:t>Cir.</w:t>
      </w:r>
      <w:r>
        <w:rPr>
          <w:color w:val="6E6158"/>
          <w:spacing w:val="7"/>
        </w:rPr>
        <w:t> </w:t>
      </w:r>
      <w:r>
        <w:rPr>
          <w:color w:val="6E6158"/>
          <w:spacing w:val="-2"/>
        </w:rPr>
        <w:t>2022)</w:t>
      </w:r>
    </w:p>
    <w:p>
      <w:pPr>
        <w:pStyle w:val="BodyText"/>
        <w:spacing w:line="292" w:lineRule="auto" w:before="113"/>
        <w:ind w:right="698"/>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224380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7730pt;width:1.65pt;height:1.65pt;mso-position-horizontal-relative:page;mso-position-vertical-relative:paragraph;z-index:15733760" id="docshape1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Obtained a defense verdict in an FMLA interference and retaliation case where the plaintiff</w:t>
      </w:r>
      <w:r>
        <w:rPr>
          <w:color w:val="6E6158"/>
          <w:spacing w:val="40"/>
        </w:rPr>
        <w:t> </w:t>
      </w:r>
      <w:r>
        <w:rPr>
          <w:color w:val="6E6158"/>
        </w:rPr>
        <w:t>also alleged sexual harassment, retaliation, and violations of the FLSA.</w:t>
      </w:r>
    </w:p>
    <w:p>
      <w:pPr>
        <w:pStyle w:val="BodyText"/>
        <w:spacing w:line="302" w:lineRule="auto"/>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236074</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8577pt;width:1.65pt;height:1.65pt;mso-position-horizontal-relative:page;mso-position-vertical-relative:paragraph;z-index:15734272" id="docshape1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Defended a breach of contract and unpaid wage case to a jury verdict in favor of a large</w:t>
      </w:r>
      <w:r>
        <w:rPr>
          <w:color w:val="6E6158"/>
          <w:spacing w:val="40"/>
        </w:rPr>
        <w:t> </w:t>
      </w:r>
      <w:r>
        <w:rPr>
          <w:color w:val="6E6158"/>
        </w:rPr>
        <w:t>medical</w:t>
      </w:r>
      <w:r>
        <w:rPr>
          <w:color w:val="6E6158"/>
          <w:spacing w:val="26"/>
        </w:rPr>
        <w:t> </w:t>
      </w:r>
      <w:r>
        <w:rPr>
          <w:color w:val="6E6158"/>
        </w:rPr>
        <w:t>practice</w:t>
      </w:r>
      <w:r>
        <w:rPr>
          <w:color w:val="6E6158"/>
          <w:spacing w:val="26"/>
        </w:rPr>
        <w:t> </w:t>
      </w:r>
      <w:r>
        <w:rPr>
          <w:color w:val="6E6158"/>
        </w:rPr>
        <w:t>in</w:t>
      </w:r>
      <w:r>
        <w:rPr>
          <w:color w:val="6E6158"/>
          <w:spacing w:val="26"/>
        </w:rPr>
        <w:t> </w:t>
      </w:r>
      <w:r>
        <w:rPr>
          <w:color w:val="6E6158"/>
        </w:rPr>
        <w:t>a</w:t>
      </w:r>
      <w:r>
        <w:rPr>
          <w:color w:val="6E6158"/>
          <w:spacing w:val="26"/>
        </w:rPr>
        <w:t> </w:t>
      </w:r>
      <w:r>
        <w:rPr>
          <w:color w:val="6E6158"/>
        </w:rPr>
        <w:t>claim</w:t>
      </w:r>
      <w:r>
        <w:rPr>
          <w:color w:val="6E6158"/>
          <w:spacing w:val="26"/>
        </w:rPr>
        <w:t> </w:t>
      </w:r>
      <w:r>
        <w:rPr>
          <w:color w:val="6E6158"/>
        </w:rPr>
        <w:t>brought</w:t>
      </w:r>
      <w:r>
        <w:rPr>
          <w:color w:val="6E6158"/>
          <w:spacing w:val="26"/>
        </w:rPr>
        <w:t> </w:t>
      </w:r>
      <w:r>
        <w:rPr>
          <w:color w:val="6E6158"/>
        </w:rPr>
        <w:t>by</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founding</w:t>
      </w:r>
      <w:r>
        <w:rPr>
          <w:color w:val="6E6158"/>
          <w:spacing w:val="26"/>
        </w:rPr>
        <w:t> </w:t>
      </w:r>
      <w:r>
        <w:rPr>
          <w:color w:val="6E6158"/>
        </w:rPr>
        <w:t>members</w:t>
      </w:r>
      <w:r>
        <w:rPr>
          <w:color w:val="6E6158"/>
          <w:spacing w:val="26"/>
        </w:rPr>
        <w:t> </w:t>
      </w:r>
      <w:r>
        <w:rPr>
          <w:color w:val="6E6158"/>
        </w:rPr>
        <w:t>of</w:t>
      </w:r>
      <w:r>
        <w:rPr>
          <w:color w:val="6E6158"/>
          <w:spacing w:val="26"/>
        </w:rPr>
        <w:t> </w:t>
      </w:r>
      <w:r>
        <w:rPr>
          <w:color w:val="6E6158"/>
        </w:rPr>
        <w:t>that</w:t>
      </w:r>
      <w:r>
        <w:rPr>
          <w:color w:val="6E6158"/>
          <w:spacing w:val="26"/>
        </w:rPr>
        <w:t> </w:t>
      </w:r>
      <w:r>
        <w:rPr>
          <w:color w:val="6E6158"/>
        </w:rPr>
        <w:t>practice.</w:t>
      </w:r>
    </w:p>
    <w:p>
      <w:pPr>
        <w:pStyle w:val="BodyText"/>
        <w:spacing w:line="292" w:lineRule="auto" w:before="113"/>
        <w:ind w:right="750"/>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224418</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0765pt;width:1.65pt;height:1.65pt;mso-position-horizontal-relative:page;mso-position-vertical-relative:paragraph;z-index:15734784" id="docshape18"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Secured a defense verdict and award of fees and costs in a race discrimination and retaliation lawsuit in the U.S. District Court for the District of Arizona.</w:t>
      </w:r>
    </w:p>
    <w:p>
      <w:pPr>
        <w:pStyle w:val="BodyText"/>
        <w:spacing w:line="292" w:lineRule="auto" w:before="13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236113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642pt;width:1.65pt;height:1.65pt;mso-position-horizontal-relative:page;mso-position-vertical-relative:paragraph;z-index:15735296" id="docshape1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Obtained a complete defense verdict in a difficult multi-plaintiff race discrimination case</w:t>
      </w:r>
      <w:r>
        <w:rPr>
          <w:color w:val="6E6158"/>
          <w:spacing w:val="40"/>
        </w:rPr>
        <w:t> </w:t>
      </w:r>
      <w:r>
        <w:rPr>
          <w:color w:val="6E6158"/>
        </w:rPr>
        <w:t>brought</w:t>
      </w:r>
      <w:r>
        <w:rPr>
          <w:color w:val="6E6158"/>
          <w:spacing w:val="25"/>
        </w:rPr>
        <w:t> </w:t>
      </w:r>
      <w:r>
        <w:rPr>
          <w:color w:val="6E6158"/>
        </w:rPr>
        <w:t>under</w:t>
      </w:r>
      <w:r>
        <w:rPr>
          <w:color w:val="6E6158"/>
          <w:spacing w:val="25"/>
        </w:rPr>
        <w:t> </w:t>
      </w:r>
      <w:r>
        <w:rPr>
          <w:color w:val="6E6158"/>
        </w:rPr>
        <w:t>Title</w:t>
      </w:r>
      <w:r>
        <w:rPr>
          <w:color w:val="6E6158"/>
          <w:spacing w:val="25"/>
        </w:rPr>
        <w:t> </w:t>
      </w:r>
      <w:r>
        <w:rPr>
          <w:color w:val="6E6158"/>
        </w:rPr>
        <w:t>VII</w:t>
      </w:r>
      <w:r>
        <w:rPr>
          <w:color w:val="6E6158"/>
          <w:spacing w:val="25"/>
        </w:rPr>
        <w:t> </w:t>
      </w:r>
      <w:r>
        <w:rPr>
          <w:color w:val="6E6158"/>
        </w:rPr>
        <w:t>and</w:t>
      </w:r>
      <w:r>
        <w:rPr>
          <w:color w:val="6E6158"/>
          <w:spacing w:val="25"/>
        </w:rPr>
        <w:t> </w:t>
      </w:r>
      <w:r>
        <w:rPr>
          <w:color w:val="6E6158"/>
        </w:rPr>
        <w:t>Section</w:t>
      </w:r>
      <w:r>
        <w:rPr>
          <w:color w:val="6E6158"/>
          <w:spacing w:val="25"/>
        </w:rPr>
        <w:t> </w:t>
      </w:r>
      <w:r>
        <w:rPr>
          <w:color w:val="6E6158"/>
        </w:rPr>
        <w:t>1981</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U.S.</w:t>
      </w:r>
      <w:r>
        <w:rPr>
          <w:color w:val="6E6158"/>
          <w:spacing w:val="25"/>
        </w:rPr>
        <w:t> </w:t>
      </w:r>
      <w:r>
        <w:rPr>
          <w:color w:val="6E6158"/>
        </w:rPr>
        <w:t>District</w:t>
      </w:r>
      <w:r>
        <w:rPr>
          <w:color w:val="6E6158"/>
          <w:spacing w:val="25"/>
        </w:rPr>
        <w:t> </w:t>
      </w:r>
      <w:r>
        <w:rPr>
          <w:color w:val="6E6158"/>
        </w:rPr>
        <w:t>Court</w:t>
      </w:r>
      <w:r>
        <w:rPr>
          <w:color w:val="6E6158"/>
          <w:spacing w:val="25"/>
        </w:rPr>
        <w:t> </w:t>
      </w:r>
      <w:r>
        <w:rPr>
          <w:color w:val="6E6158"/>
        </w:rPr>
        <w:t>for</w:t>
      </w:r>
      <w:r>
        <w:rPr>
          <w:color w:val="6E6158"/>
          <w:spacing w:val="25"/>
        </w:rPr>
        <w:t> </w:t>
      </w:r>
      <w:r>
        <w:rPr>
          <w:color w:val="6E6158"/>
        </w:rPr>
        <w:t>New</w:t>
      </w:r>
      <w:r>
        <w:rPr>
          <w:color w:val="6E6158"/>
          <w:spacing w:val="25"/>
        </w:rPr>
        <w:t> </w:t>
      </w:r>
      <w:r>
        <w:rPr>
          <w:color w:val="6E6158"/>
        </w:rPr>
        <w:t>Mexico.</w:t>
      </w:r>
    </w:p>
    <w:p>
      <w:pPr>
        <w:pStyle w:val="BodyText"/>
        <w:ind w:right="0"/>
      </w:pPr>
      <w:r>
        <w:rPr>
          <w:color w:val="6E6158"/>
        </w:rPr>
        <w:t>Successfully</w:t>
      </w:r>
      <w:r>
        <w:rPr>
          <w:color w:val="6E6158"/>
          <w:spacing w:val="15"/>
        </w:rPr>
        <w:t> </w:t>
      </w:r>
      <w:r>
        <w:rPr>
          <w:color w:val="6E6158"/>
        </w:rPr>
        <w:t>defended</w:t>
      </w:r>
      <w:r>
        <w:rPr>
          <w:color w:val="6E6158"/>
          <w:spacing w:val="16"/>
        </w:rPr>
        <w:t> </w:t>
      </w:r>
      <w:r>
        <w:rPr>
          <w:color w:val="6E6158"/>
        </w:rPr>
        <w:t>against</w:t>
      </w:r>
      <w:r>
        <w:rPr>
          <w:color w:val="6E6158"/>
          <w:spacing w:val="16"/>
        </w:rPr>
        <w:t> </w:t>
      </w:r>
      <w:r>
        <w:rPr>
          <w:color w:val="6E6158"/>
        </w:rPr>
        <w:t>an</w:t>
      </w:r>
      <w:r>
        <w:rPr>
          <w:color w:val="6E6158"/>
          <w:spacing w:val="16"/>
        </w:rPr>
        <w:t> </w:t>
      </w:r>
      <w:r>
        <w:rPr>
          <w:color w:val="6E6158"/>
        </w:rPr>
        <w:t>OSHA</w:t>
      </w:r>
      <w:r>
        <w:rPr>
          <w:color w:val="6E6158"/>
          <w:spacing w:val="16"/>
        </w:rPr>
        <w:t> </w:t>
      </w:r>
      <w:r>
        <w:rPr>
          <w:color w:val="6E6158"/>
        </w:rPr>
        <w:t>whistleblower</w:t>
      </w:r>
      <w:r>
        <w:rPr>
          <w:color w:val="6E6158"/>
          <w:spacing w:val="16"/>
        </w:rPr>
        <w:t> </w:t>
      </w:r>
      <w:r>
        <w:rPr>
          <w:color w:val="6E6158"/>
        </w:rPr>
        <w:t>complaint</w:t>
      </w:r>
      <w:r>
        <w:rPr>
          <w:color w:val="6E6158"/>
          <w:spacing w:val="16"/>
        </w:rPr>
        <w:t> </w:t>
      </w:r>
      <w:r>
        <w:rPr>
          <w:color w:val="6E6158"/>
        </w:rPr>
        <w:t>in</w:t>
      </w:r>
      <w:r>
        <w:rPr>
          <w:color w:val="6E6158"/>
          <w:spacing w:val="16"/>
        </w:rPr>
        <w:t> </w:t>
      </w:r>
      <w:r>
        <w:rPr>
          <w:color w:val="6E6158"/>
        </w:rPr>
        <w:t>proceedings</w:t>
      </w:r>
      <w:r>
        <w:rPr>
          <w:color w:val="6E6158"/>
          <w:spacing w:val="16"/>
        </w:rPr>
        <w:t> </w:t>
      </w:r>
      <w:r>
        <w:rPr>
          <w:color w:val="6E6158"/>
        </w:rPr>
        <w:t>before</w:t>
      </w:r>
      <w:r>
        <w:rPr>
          <w:color w:val="6E6158"/>
          <w:spacing w:val="16"/>
        </w:rPr>
        <w:t> </w:t>
      </w:r>
      <w:r>
        <w:rPr>
          <w:color w:val="6E6158"/>
          <w:spacing w:val="-5"/>
        </w:rPr>
        <w:t>the</w:t>
      </w:r>
    </w:p>
    <w:p>
      <w:pPr>
        <w:pStyle w:val="BodyText"/>
        <w:spacing w:line="302" w:lineRule="auto" w:before="52"/>
        <w:ind w:right="69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97556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81592pt;width:1.65pt;height:1.65pt;mso-position-horizontal-relative:page;mso-position-vertical-relative:paragraph;z-index:15735808" id="docshape20" coordorigin="1670,154" coordsize="33,33" path="m1691,186l1682,186,1678,185,1671,178,1670,174,1670,165,1671,162,1678,155,1682,154,1691,154,1694,155,1701,162,1702,165,1702,170,1702,174,1701,178,1694,185,1691,186xe" filled="true" fillcolor="#090909" stroked="false">
                <v:path arrowok="t"/>
                <v:fill type="solid"/>
                <w10:wrap type="none"/>
              </v:shape>
            </w:pict>
          </mc:Fallback>
        </mc:AlternateContent>
      </w:r>
      <w:r>
        <w:rPr>
          <w:color w:val="6E6158"/>
        </w:rPr>
        <w:t>U.S. Department of Labor and the 10th Circuit Court of Appeals. Mizusawa v. United Parcel</w:t>
      </w:r>
      <w:r>
        <w:rPr>
          <w:color w:val="6E6158"/>
          <w:spacing w:val="40"/>
        </w:rPr>
        <w:t> </w:t>
      </w:r>
      <w:r>
        <w:rPr>
          <w:color w:val="6E6158"/>
        </w:rPr>
        <w:t>Service, 524 Fed.Appx. 4431 (10th Cir. 2013)</w:t>
      </w:r>
    </w:p>
    <w:p>
      <w:pPr>
        <w:pStyle w:val="BodyText"/>
        <w:spacing w:line="292" w:lineRule="auto" w:before="113"/>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223997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7573pt;width:1.65pt;height:1.65pt;mso-position-horizontal-relative:page;mso-position-vertical-relative:paragraph;z-index:15736320" id="docshape21"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defense verdict in favor of a hospital in a lawsuit alleging unlawful race discrimination and retaliation under Title VII and 42 USC §1981.</w:t>
      </w:r>
    </w:p>
    <w:p>
      <w:pPr>
        <w:pStyle w:val="BodyText"/>
        <w:spacing w:line="302" w:lineRule="auto"/>
        <w:ind w:right="0"/>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235691</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58355pt;width:1.65pt;height:1.65pt;mso-position-horizontal-relative:page;mso-position-vertical-relative:paragraph;z-index:15736832" id="docshape22"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Successfully defended an aviation client in arbitration against claims for unpaid wages </w:t>
      </w:r>
      <w:r>
        <w:rPr>
          <w:color w:val="6E6158"/>
        </w:rPr>
        <w:t>and</w:t>
      </w:r>
      <w:r>
        <w:rPr>
          <w:color w:val="6E6158"/>
          <w:spacing w:val="40"/>
        </w:rPr>
        <w:t> </w:t>
      </w:r>
      <w:r>
        <w:rPr>
          <w:color w:val="6E6158"/>
        </w:rPr>
        <w:t>discrimination under the California Fair Employment and Housing Act.</w:t>
      </w:r>
    </w:p>
    <w:p>
      <w:pPr>
        <w:pStyle w:val="BodyText"/>
        <w:spacing w:line="292" w:lineRule="auto" w:before="113"/>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224035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0568pt;width:1.65pt;height:1.65pt;mso-position-horizontal-relative:page;mso-position-vertical-relative:paragraph;z-index:15737344" id="docshape23"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jury verdict and award of costs in favor of an employer charged with discrimination under the Americans with Disabilities Act.</w:t>
      </w:r>
    </w:p>
    <w:p>
      <w:pPr>
        <w:pStyle w:val="BodyText"/>
        <w:spacing w:line="302" w:lineRule="auto"/>
        <w:ind w:right="698"/>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235730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422pt;width:1.65pt;height:1.65pt;mso-position-horizontal-relative:page;mso-position-vertical-relative:paragraph;z-index:15737856" id="docshape2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costs in a racial discrimination and retaliation</w:t>
      </w:r>
      <w:r>
        <w:rPr>
          <w:color w:val="6E6158"/>
          <w:spacing w:val="40"/>
        </w:rPr>
        <w:t> </w:t>
      </w:r>
      <w:r>
        <w:rPr>
          <w:color w:val="6E6158"/>
        </w:rPr>
        <w:t>claim in the United States District Court for the District of Nevada.</w:t>
      </w:r>
    </w:p>
    <w:p>
      <w:pPr>
        <w:pStyle w:val="BodyText"/>
        <w:spacing w:line="292" w:lineRule="auto" w:before="113"/>
        <w:ind w:right="750"/>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224072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3517pt;width:1.65pt;height:1.65pt;mso-position-horizontal-relative:page;mso-position-vertical-relative:paragraph;z-index:15738368" id="docshape25"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TRO and permanent injunction against an Arizona town that attempted to stop</w:t>
      </w:r>
      <w:r>
        <w:rPr>
          <w:color w:val="6E6158"/>
          <w:spacing w:val="40"/>
        </w:rPr>
        <w:t> </w:t>
      </w:r>
      <w:r>
        <w:rPr>
          <w:color w:val="6E6158"/>
        </w:rPr>
        <w:t>an RV show by refusing to issue a business license.</w:t>
      </w:r>
    </w:p>
    <w:p>
      <w:pPr>
        <w:pStyle w:val="BodyText"/>
        <w:spacing w:line="302" w:lineRule="auto"/>
        <w:ind w:right="750"/>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235767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371pt;width:1.65pt;height:1.65pt;mso-position-horizontal-relative:page;mso-position-vertical-relative:paragraph;z-index:15738880" id="docshape26"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attorney fees against an employee </w:t>
      </w:r>
      <w:r>
        <w:rPr>
          <w:color w:val="6E6158"/>
        </w:rPr>
        <w:t>who claimed an ownership interest in his employer’s company.</w:t>
      </w:r>
    </w:p>
    <w:p>
      <w:pPr>
        <w:pStyle w:val="BodyText"/>
        <w:spacing w:line="292" w:lineRule="auto" w:before="113"/>
        <w:ind w:right="0"/>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224111</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6585pt;width:1.65pt;height:1.65pt;mso-position-horizontal-relative:page;mso-position-vertical-relative:paragraph;z-index:15739392" id="docshape27" coordorigin="1670,353" coordsize="33,33" path="m1691,385l1682,385,1678,384,1671,378,1670,374,1670,365,1671,361,1678,355,1682,353,1691,353,1694,355,1701,361,1702,365,1702,369,1702,374,1701,378,1694,384,1691,385xe" filled="true" fillcolor="#090909" stroked="false">
                <v:path arrowok="t"/>
                <v:fill type="solid"/>
                <w10:wrap type="none"/>
              </v:shape>
            </w:pict>
          </mc:Fallback>
        </mc:AlternateContent>
      </w:r>
      <w:r>
        <w:rPr>
          <w:color w:val="6E6158"/>
        </w:rPr>
        <w:t>Obtained a defense judgment for a high-tech employer in a whistleblower claim before </w:t>
      </w:r>
      <w:r>
        <w:rPr>
          <w:color w:val="6E6158"/>
        </w:rPr>
        <w:t>the</w:t>
      </w:r>
      <w:r>
        <w:rPr>
          <w:color w:val="6E6158"/>
          <w:spacing w:val="40"/>
        </w:rPr>
        <w:t> </w:t>
      </w:r>
      <w:r>
        <w:rPr>
          <w:color w:val="6E6158"/>
        </w:rPr>
        <w:t>Department of Labor.</w:t>
      </w:r>
    </w:p>
    <w:p>
      <w:pPr>
        <w:pStyle w:val="BodyText"/>
        <w:spacing w:after="0" w:line="292" w:lineRule="auto"/>
        <w:sectPr>
          <w:pgSz w:w="12240" w:h="15840"/>
          <w:pgMar w:top="500" w:bottom="280" w:left="1440" w:right="1080"/>
        </w:sectPr>
      </w:pPr>
    </w:p>
    <w:p>
      <w:pPr>
        <w:pStyle w:val="BodyText"/>
        <w:spacing w:line="297" w:lineRule="auto" w:before="83"/>
        <w:ind w:right="698"/>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298458</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671pt;width:1.65pt;height:1.65pt;mso-position-horizontal-relative:page;mso-position-vertical-relative:paragraph;z-index:15739904" id="docshape28"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Obtained</w:t>
      </w:r>
      <w:r>
        <w:rPr>
          <w:color w:val="6E6158"/>
          <w:spacing w:val="27"/>
        </w:rPr>
        <w:t> </w:t>
      </w:r>
      <w:r>
        <w:rPr>
          <w:color w:val="6E6158"/>
        </w:rPr>
        <w:t>a</w:t>
      </w:r>
      <w:r>
        <w:rPr>
          <w:color w:val="6E6158"/>
          <w:spacing w:val="27"/>
        </w:rPr>
        <w:t> </w:t>
      </w:r>
      <w:r>
        <w:rPr>
          <w:color w:val="6E6158"/>
        </w:rPr>
        <w:t>defense</w:t>
      </w:r>
      <w:r>
        <w:rPr>
          <w:color w:val="6E6158"/>
          <w:spacing w:val="27"/>
        </w:rPr>
        <w:t> </w:t>
      </w:r>
      <w:r>
        <w:rPr>
          <w:color w:val="6E6158"/>
        </w:rPr>
        <w:t>verdict</w:t>
      </w:r>
      <w:r>
        <w:rPr>
          <w:color w:val="6E6158"/>
          <w:spacing w:val="27"/>
        </w:rPr>
        <w:t> </w:t>
      </w:r>
      <w:r>
        <w:rPr>
          <w:color w:val="6E6158"/>
        </w:rPr>
        <w:t>for</w:t>
      </w:r>
      <w:r>
        <w:rPr>
          <w:color w:val="6E6158"/>
          <w:spacing w:val="27"/>
        </w:rPr>
        <w:t> </w:t>
      </w:r>
      <w:r>
        <w:rPr>
          <w:color w:val="6E6158"/>
        </w:rPr>
        <w:t>a</w:t>
      </w:r>
      <w:r>
        <w:rPr>
          <w:color w:val="6E6158"/>
          <w:spacing w:val="27"/>
        </w:rPr>
        <w:t> </w:t>
      </w:r>
      <w:r>
        <w:rPr>
          <w:color w:val="6E6158"/>
        </w:rPr>
        <w:t>leading</w:t>
      </w:r>
      <w:r>
        <w:rPr>
          <w:color w:val="6E6158"/>
          <w:spacing w:val="27"/>
        </w:rPr>
        <w:t> </w:t>
      </w:r>
      <w:r>
        <w:rPr>
          <w:color w:val="6E6158"/>
        </w:rPr>
        <w:t>parcel</w:t>
      </w:r>
      <w:r>
        <w:rPr>
          <w:color w:val="6E6158"/>
          <w:spacing w:val="27"/>
        </w:rPr>
        <w:t> </w:t>
      </w:r>
      <w:r>
        <w:rPr>
          <w:color w:val="6E6158"/>
        </w:rPr>
        <w:t>delivery</w:t>
      </w:r>
      <w:r>
        <w:rPr>
          <w:color w:val="6E6158"/>
          <w:spacing w:val="27"/>
        </w:rPr>
        <w:t> </w:t>
      </w:r>
      <w:r>
        <w:rPr>
          <w:color w:val="6E6158"/>
        </w:rPr>
        <w:t>client</w:t>
      </w:r>
      <w:r>
        <w:rPr>
          <w:color w:val="6E6158"/>
          <w:spacing w:val="27"/>
        </w:rPr>
        <w:t> </w:t>
      </w:r>
      <w:r>
        <w:rPr>
          <w:color w:val="6E6158"/>
        </w:rPr>
        <w:t>in</w:t>
      </w:r>
      <w:r>
        <w:rPr>
          <w:color w:val="6E6158"/>
          <w:spacing w:val="27"/>
        </w:rPr>
        <w:t> </w:t>
      </w:r>
      <w:r>
        <w:rPr>
          <w:color w:val="6E6158"/>
        </w:rPr>
        <w:t>an</w:t>
      </w:r>
      <w:r>
        <w:rPr>
          <w:color w:val="6E6158"/>
          <w:spacing w:val="27"/>
        </w:rPr>
        <w:t> </w:t>
      </w:r>
      <w:r>
        <w:rPr>
          <w:color w:val="6E6158"/>
        </w:rPr>
        <w:t>ADA</w:t>
      </w:r>
      <w:r>
        <w:rPr>
          <w:color w:val="6E6158"/>
          <w:spacing w:val="27"/>
        </w:rPr>
        <w:t> </w:t>
      </w:r>
      <w:r>
        <w:rPr>
          <w:color w:val="6E6158"/>
        </w:rPr>
        <w:t>retaliation</w:t>
      </w:r>
      <w:r>
        <w:rPr>
          <w:color w:val="6E6158"/>
          <w:spacing w:val="27"/>
        </w:rPr>
        <w:t> </w:t>
      </w:r>
      <w:r>
        <w:rPr>
          <w:color w:val="6E6158"/>
        </w:rPr>
        <w:t>case and successfully defended that verdict before the Ninth Circuit Court of Appeals. Gribben v.</w:t>
      </w:r>
      <w:r>
        <w:rPr>
          <w:color w:val="6E6158"/>
          <w:spacing w:val="40"/>
        </w:rPr>
        <w:t> </w:t>
      </w:r>
      <w:r>
        <w:rPr>
          <w:color w:val="6E6158"/>
        </w:rPr>
        <w:t>United Parcel Service, 528 F.3d 1166 (9th Cir. 2008)</w:t>
      </w:r>
    </w:p>
    <w:p>
      <w:pPr>
        <w:pStyle w:val="BodyText"/>
        <w:spacing w:line="292" w:lineRule="auto" w:before="118"/>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320714</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3136pt;width:1.65pt;height:1.65pt;mso-position-horizontal-relative:page;mso-position-vertical-relative:paragraph;z-index:15740416" id="docshape29"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Obtained a defense judgment for a high-tech company against an employee who complained that he was the victim of same-sex harassment and retaliation by the </w:t>
      </w:r>
      <w:r>
        <w:rPr>
          <w:color w:val="6E6158"/>
        </w:rPr>
        <w:t>company</w:t>
      </w:r>
      <w:r>
        <w:rPr>
          <w:color w:val="6E6158"/>
          <w:spacing w:val="40"/>
        </w:rPr>
        <w:t> </w:t>
      </w:r>
      <w:r>
        <w:rPr>
          <w:color w:val="6E6158"/>
          <w:spacing w:val="-4"/>
        </w:rPr>
        <w:t>CEO.</w:t>
      </w:r>
    </w:p>
    <w:p>
      <w:pPr>
        <w:pStyle w:val="BodyText"/>
        <w:spacing w:line="292" w:lineRule="auto" w:before="132"/>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236608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0613pt;width:1.65pt;height:1.65pt;mso-position-horizontal-relative:page;mso-position-vertical-relative:paragraph;z-index:15740928" id="docshape30"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Successfully defended a food service employer against a sexual harassment lawsuit </w:t>
      </w:r>
      <w:r>
        <w:rPr>
          <w:color w:val="6E6158"/>
        </w:rPr>
        <w:t>brought</w:t>
      </w:r>
      <w:r>
        <w:rPr>
          <w:color w:val="6E6158"/>
          <w:spacing w:val="40"/>
        </w:rPr>
        <w:t> </w:t>
      </w:r>
      <w:r>
        <w:rPr>
          <w:color w:val="6E6158"/>
        </w:rPr>
        <w:t>by the EEOC on behalf of five former employees.</w:t>
      </w:r>
    </w:p>
    <w:p>
      <w:pPr>
        <w:pStyle w:val="Heading1"/>
        <w:spacing w:before="163"/>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7"/>
        <w:ind w:right="0"/>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157739</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0418pt;width:1.65pt;height:1.65pt;mso-position-horizontal-relative:page;mso-position-vertical-relative:paragraph;z-index:15741440" id="docshape31"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AV</w:t>
      </w:r>
      <w:r>
        <w:rPr>
          <w:color w:val="6E6158"/>
          <w:spacing w:val="5"/>
        </w:rPr>
        <w:t> </w:t>
      </w:r>
      <w:r>
        <w:rPr>
          <w:color w:val="6E6158"/>
        </w:rPr>
        <w:t>Rated,</w:t>
      </w:r>
      <w:r>
        <w:rPr>
          <w:color w:val="6E6158"/>
          <w:spacing w:val="6"/>
        </w:rPr>
        <w:t> </w:t>
      </w:r>
      <w:r>
        <w:rPr>
          <w:color w:val="6E6158"/>
        </w:rPr>
        <w:t>Martindale</w:t>
      </w:r>
      <w:r>
        <w:rPr>
          <w:color w:val="6E6158"/>
          <w:spacing w:val="5"/>
        </w:rPr>
        <w:t> </w:t>
      </w:r>
      <w:r>
        <w:rPr>
          <w:color w:val="6E6158"/>
          <w:spacing w:val="-2"/>
        </w:rPr>
        <w:t>Hubble</w:t>
      </w:r>
    </w:p>
    <w:p>
      <w:pPr>
        <w:pStyle w:val="BodyText"/>
        <w:spacing w:line="427" w:lineRule="auto" w:before="173"/>
        <w:ind w:right="1920"/>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174834</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6475pt;width:1.65pt;height:1.65pt;mso-position-horizontal-relative:page;mso-position-vertical-relative:paragraph;z-index:15741952" id="docshape32"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433199</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0226pt;width:1.65pt;height:1.65pt;mso-position-horizontal-relative:page;mso-position-vertical-relative:paragraph;z-index:15742464" id="docshape33" coordorigin="1670,682" coordsize="33,33" path="m1691,715l1682,715,1678,713,1671,707,1670,703,1670,694,1671,690,1678,684,1682,682,1691,682,1694,684,1701,690,1702,694,1702,698,1702,703,1701,707,1694,713,1691,715xe" filled="true" fillcolor="#090909" stroked="false">
                <v:path arrowok="t"/>
                <v:fill type="solid"/>
                <w10:wrap type="none"/>
              </v:shape>
            </w:pict>
          </mc:Fallback>
        </mc:AlternateContent>
      </w:r>
      <w:r>
        <w:rPr>
          <w:color w:val="6E6158"/>
        </w:rPr>
        <w:t>“Top Lawyers,(Labor and Employment Law)” Arizona Business </w:t>
      </w:r>
      <w:r>
        <w:rPr>
          <w:color w:val="6E6158"/>
        </w:rPr>
        <w:t>Magazine Southwest Super Lawyers® list, Employment &amp; Labor, 2012-2014</w:t>
      </w:r>
    </w:p>
    <w:p>
      <w:pPr>
        <w:pStyle w:val="Heading1"/>
        <w:spacing w:before="154"/>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left="99"/>
      </w:pPr>
      <w:r>
        <w:rPr>
          <w:color w:val="6E6158"/>
        </w:rPr>
        <w:t>David’s energetic and humorous style makes him a sought-after trainer, lecturer, and thought leader. His recent presentations and publications include:</w:t>
      </w:r>
    </w:p>
    <w:p>
      <w:pPr>
        <w:pStyle w:val="BodyText"/>
        <w:spacing w:line="292" w:lineRule="auto" w:before="205"/>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282454</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2.240488pt;width:1.65pt;height:1.65pt;mso-position-horizontal-relative:page;mso-position-vertical-relative:paragraph;z-index:15742976" id="docshape34" coordorigin="1670,445" coordsize="33,33" path="m1691,477l1682,477,1678,476,1671,469,1670,466,1670,457,1671,453,1678,446,1682,445,1691,445,1694,446,1701,453,1702,457,1702,461,1702,466,1701,469,1694,476,1691,477xe" filled="true" fillcolor="#090909" stroked="false">
                <v:path arrowok="t"/>
                <v:fill type="solid"/>
                <w10:wrap type="none"/>
              </v:shape>
            </w:pict>
          </mc:Fallback>
        </mc:AlternateContent>
      </w:r>
      <w:r>
        <w:rPr>
          <w:color w:val="6E6158"/>
        </w:rPr>
        <w:t>Author, “A three-part checklist for HR before terminating an employee,” Phoenix</w:t>
      </w:r>
      <w:r>
        <w:rPr>
          <w:color w:val="6E6158"/>
          <w:spacing w:val="40"/>
        </w:rPr>
        <w:t> </w:t>
      </w:r>
      <w:r>
        <w:rPr>
          <w:color w:val="6E6158"/>
        </w:rPr>
        <w:t>Business Journal, March 11, 2026</w:t>
      </w:r>
    </w:p>
    <w:p>
      <w:pPr>
        <w:pStyle w:val="BodyText"/>
        <w:spacing w:line="292" w:lineRule="auto"/>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230562</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4493pt;width:1.65pt;height:1.65pt;mso-position-horizontal-relative:page;mso-position-vertical-relative:paragraph;z-index:15743488" id="docshape35"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Presenter, “Effective Investigations,” AZSHRM Law and Legislative Conference, February </w:t>
      </w:r>
      <w:r>
        <w:rPr>
          <w:color w:val="6E6158"/>
        </w:rPr>
        <w:t>20, </w:t>
      </w:r>
      <w:r>
        <w:rPr>
          <w:color w:val="6E6158"/>
          <w:spacing w:val="-4"/>
        </w:rPr>
        <w:t>2026</w:t>
      </w:r>
    </w:p>
    <w:p>
      <w:pPr>
        <w:pStyle w:val="BodyText"/>
        <w:spacing w:line="292" w:lineRule="auto" w:before="131"/>
        <w:ind w:right="750"/>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328917</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899002pt;width:1.65pt;height:1.65pt;mso-position-horizontal-relative:page;mso-position-vertical-relative:paragraph;z-index:15744000" id="docshape36" coordorigin="1670,518" coordsize="33,33" path="m1691,551l1682,551,1678,549,1671,543,1670,539,1670,530,1671,526,1678,520,1682,518,1691,518,1694,520,1701,526,1702,530,1702,534,1702,539,1701,543,1694,549,1691,551xe" filled="true" fillcolor="#090909" stroked="false">
                <v:path arrowok="t"/>
                <v:fill type="solid"/>
                <w10:wrap type="none"/>
              </v:shape>
            </w:pict>
          </mc:Fallback>
        </mc:AlternateContent>
      </w:r>
      <w:r>
        <w:rPr>
          <w:color w:val="6E6158"/>
        </w:rPr>
        <w:t>Co-Author, “</w:t>
      </w:r>
      <w:hyperlink r:id="rId11">
        <w:r>
          <w:rPr>
            <w:color w:val="F5821F"/>
          </w:rPr>
          <w:t>The End of Disparate Impact? DOJ Overhauls Federal Civil-Rights </w:t>
        </w:r>
        <w:r>
          <w:rPr>
            <w:color w:val="F5821F"/>
          </w:rPr>
          <w:t>Enforcement,</w:t>
        </w:r>
      </w:hyperlink>
      <w:r>
        <w:rPr>
          <w:color w:val="F5821F"/>
        </w:rPr>
        <w:t> </w:t>
      </w:r>
      <w:hyperlink r:id="rId11">
        <w:r>
          <w:rPr>
            <w:color w:val="F5821F"/>
          </w:rPr>
          <w:t>Reshaping Compliance Obligations for Federally Funded Entities</w:t>
        </w:r>
      </w:hyperlink>
      <w:r>
        <w:rPr>
          <w:color w:val="6E6158"/>
        </w:rPr>
        <w:t>,” Fennemore Blog, December 15, 2025</w:t>
      </w:r>
    </w:p>
    <w:p>
      <w:pPr>
        <w:pStyle w:val="BodyText"/>
        <w:spacing w:line="292" w:lineRule="auto" w:before="132"/>
        <w:ind w:right="698"/>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236556</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26503pt;width:1.65pt;height:1.65pt;mso-position-horizontal-relative:page;mso-position-vertical-relative:paragraph;z-index:15744512" id="docshape37" coordorigin="1670,373" coordsize="33,33" path="m1691,405l1682,405,1678,403,1671,397,1670,393,1670,384,1671,380,1678,374,1682,373,1691,373,1694,374,1701,380,1702,384,1702,389,1702,393,1701,397,1694,403,1691,405xe" filled="true" fillcolor="#090909" stroked="false">
                <v:path arrowok="t"/>
                <v:fill type="solid"/>
                <w10:wrap type="none"/>
              </v:shape>
            </w:pict>
          </mc:Fallback>
        </mc:AlternateContent>
      </w:r>
      <w:r>
        <w:rPr>
          <w:color w:val="6E6158"/>
        </w:rPr>
        <w:t>Co-Author, “‘</w:t>
      </w:r>
      <w:hyperlink r:id="rId12">
        <w:r>
          <w:rPr>
            <w:color w:val="F5821F"/>
          </w:rPr>
          <w:t>One Big Beautiful Bill’ – what employers need to know</w:t>
        </w:r>
      </w:hyperlink>
      <w:r>
        <w:rPr>
          <w:color w:val="6E6158"/>
        </w:rPr>
        <w:t>,” AZ Big Media, July 26, </w:t>
      </w:r>
      <w:r>
        <w:rPr>
          <w:color w:val="6E6158"/>
          <w:spacing w:val="-4"/>
        </w:rPr>
        <w:t>2025</w:t>
      </w:r>
    </w:p>
    <w:p>
      <w:pPr>
        <w:pStyle w:val="BodyText"/>
        <w:spacing w:line="292" w:lineRule="auto" w:before="124"/>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231019</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051pt;width:1.65pt;height:1.65pt;mso-position-horizontal-relative:page;mso-position-vertical-relative:paragraph;z-index:15745024" id="docshape38"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Author, “</w:t>
      </w:r>
      <w:hyperlink r:id="rId13">
        <w:r>
          <w:rPr>
            <w:color w:val="F5821F"/>
          </w:rPr>
          <w:t>What Does the Revived PAID Program Mean for Employers?</w:t>
        </w:r>
      </w:hyperlink>
      <w:r>
        <w:rPr>
          <w:color w:val="6E6158"/>
        </w:rPr>
        <w:t>,” Greater </w:t>
      </w:r>
      <w:r>
        <w:rPr>
          <w:color w:val="6E6158"/>
        </w:rPr>
        <w:t>Phoenix InBusiness Magazine, July 25, 2025</w:t>
      </w:r>
    </w:p>
    <w:p>
      <w:pPr>
        <w:pStyle w:val="BodyText"/>
        <w:spacing w:line="292" w:lineRule="auto" w:before="131"/>
        <w:ind w:right="750"/>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235729</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340pt;width:1.65pt;height:1.65pt;mso-position-horizontal-relative:page;mso-position-vertical-relative:paragraph;z-index:15745536" id="docshape39"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Co-Author, “</w:t>
      </w:r>
      <w:hyperlink r:id="rId14">
        <w:r>
          <w:rPr>
            <w:color w:val="F5821F"/>
          </w:rPr>
          <w:t>Supreme Court Confirms: Title VII protects minority and majority </w:t>
        </w:r>
        <w:r>
          <w:rPr>
            <w:color w:val="F5821F"/>
          </w:rPr>
          <w:t>members</w:t>
        </w:r>
      </w:hyperlink>
      <w:r>
        <w:rPr>
          <w:color w:val="F5821F"/>
        </w:rPr>
        <w:t> </w:t>
      </w:r>
      <w:hyperlink r:id="rId14">
        <w:r>
          <w:rPr>
            <w:color w:val="F5821F"/>
          </w:rPr>
          <w:t>equally</w:t>
        </w:r>
      </w:hyperlink>
      <w:r>
        <w:rPr>
          <w:color w:val="6E6158"/>
        </w:rPr>
        <w:t>,” Fennemore Blog, June 6, 2025</w:t>
      </w:r>
    </w:p>
    <w:p>
      <w:pPr>
        <w:pStyle w:val="BodyText"/>
        <w:spacing w:line="292" w:lineRule="auto"/>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230827</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5369pt;width:1.65pt;height:1.65pt;mso-position-horizontal-relative:page;mso-position-vertical-relative:paragraph;z-index:15746048" id="docshape40" coordorigin="1670,364" coordsize="33,33" path="m1691,396l1682,396,1678,394,1671,388,1670,384,1670,375,1671,371,1678,365,1682,364,1691,364,1694,365,1701,371,1702,375,1702,380,1702,384,1701,388,1694,394,1691,396xe" filled="true" fillcolor="#090909" stroked="false">
                <v:path arrowok="t"/>
                <v:fill type="solid"/>
                <w10:wrap type="none"/>
              </v:shape>
            </w:pict>
          </mc:Fallback>
        </mc:AlternateContent>
      </w:r>
      <w:r>
        <w:rPr>
          <w:color w:val="6E6158"/>
        </w:rPr>
        <w:t>Presenter, Animals as Accommodations, Arizona SHRM Employment and </w:t>
      </w:r>
      <w:r>
        <w:rPr>
          <w:color w:val="6E6158"/>
        </w:rPr>
        <w:t>Legislative Conference, February 2025</w:t>
      </w:r>
    </w:p>
    <w:p>
      <w:pPr>
        <w:pStyle w:val="BodyText"/>
        <w:spacing w:line="292" w:lineRule="auto" w:before="132"/>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236172</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6224pt;width:1.65pt;height:1.65pt;mso-position-horizontal-relative:page;mso-position-vertical-relative:paragraph;z-index:15746560" id="docshape41"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Presenter, Cultivating HR Pros through Proper Documentation, Southern Arizona </w:t>
      </w:r>
      <w:r>
        <w:rPr>
          <w:color w:val="6E6158"/>
        </w:rPr>
        <w:t>Human Resources Association AZ SHRM Chapter (SAHRA), October 2024</w:t>
      </w:r>
    </w:p>
    <w:p>
      <w:pPr>
        <w:pStyle w:val="BodyText"/>
        <w:spacing w:line="292" w:lineRule="auto"/>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230635</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0254pt;width:1.65pt;height:1.65pt;mso-position-horizontal-relative:page;mso-position-vertical-relative:paragraph;z-index:15747072" id="docshape42"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Presenter, Violence &amp; ADA: Exploring the Intersection of ADA, Mental Illness, &amp; Employee Safety, Arizona Industry Liaison Group, 49th Annual Conference, October 2024</w:t>
      </w:r>
    </w:p>
    <w:p>
      <w:pPr>
        <w:pStyle w:val="BodyText"/>
        <w:spacing w:before="131"/>
        <w:ind w:right="0"/>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142967</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7293pt;width:1.65pt;height:1.65pt;mso-position-horizontal-relative:page;mso-position-vertical-relative:paragraph;z-index:15747584" id="docshape43"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Author,</w:t>
      </w:r>
      <w:r>
        <w:rPr>
          <w:color w:val="6E6158"/>
          <w:spacing w:val="12"/>
        </w:rPr>
        <w:t> </w:t>
      </w:r>
      <w:r>
        <w:rPr>
          <w:color w:val="6E6158"/>
        </w:rPr>
        <w:t>Violence</w:t>
      </w:r>
      <w:r>
        <w:rPr>
          <w:color w:val="6E6158"/>
          <w:spacing w:val="12"/>
        </w:rPr>
        <w:t> </w:t>
      </w:r>
      <w:r>
        <w:rPr>
          <w:color w:val="6E6158"/>
        </w:rPr>
        <w:t>and</w:t>
      </w:r>
      <w:r>
        <w:rPr>
          <w:color w:val="6E6158"/>
          <w:spacing w:val="12"/>
        </w:rPr>
        <w:t> </w:t>
      </w:r>
      <w:r>
        <w:rPr>
          <w:color w:val="6E6158"/>
        </w:rPr>
        <w:t>the</w:t>
      </w:r>
      <w:r>
        <w:rPr>
          <w:color w:val="6E6158"/>
          <w:spacing w:val="12"/>
        </w:rPr>
        <w:t> </w:t>
      </w:r>
      <w:r>
        <w:rPr>
          <w:color w:val="6E6158"/>
        </w:rPr>
        <w:t>ADA,</w:t>
      </w:r>
      <w:r>
        <w:rPr>
          <w:color w:val="6E6158"/>
          <w:spacing w:val="13"/>
        </w:rPr>
        <w:t> </w:t>
      </w:r>
      <w:r>
        <w:rPr>
          <w:color w:val="6E6158"/>
        </w:rPr>
        <w:t>Arizona</w:t>
      </w:r>
      <w:r>
        <w:rPr>
          <w:color w:val="6E6158"/>
          <w:spacing w:val="12"/>
        </w:rPr>
        <w:t> </w:t>
      </w:r>
      <w:r>
        <w:rPr>
          <w:color w:val="6E6158"/>
        </w:rPr>
        <w:t>Attorney</w:t>
      </w:r>
      <w:r>
        <w:rPr>
          <w:color w:val="6E6158"/>
          <w:spacing w:val="12"/>
        </w:rPr>
        <w:t> </w:t>
      </w:r>
      <w:r>
        <w:rPr>
          <w:color w:val="6E6158"/>
        </w:rPr>
        <w:t>Magazine,</w:t>
      </w:r>
      <w:r>
        <w:rPr>
          <w:color w:val="6E6158"/>
          <w:spacing w:val="12"/>
        </w:rPr>
        <w:t> </w:t>
      </w:r>
      <w:r>
        <w:rPr>
          <w:color w:val="6E6158"/>
        </w:rPr>
        <w:t>February</w:t>
      </w:r>
      <w:r>
        <w:rPr>
          <w:color w:val="6E6158"/>
          <w:spacing w:val="13"/>
        </w:rPr>
        <w:t> </w:t>
      </w:r>
      <w:r>
        <w:rPr>
          <w:color w:val="6E6158"/>
          <w:spacing w:val="-2"/>
        </w:rPr>
        <w:t>2024.</w:t>
      </w:r>
    </w:p>
    <w:p>
      <w:pPr>
        <w:pStyle w:val="BodyText"/>
        <w:spacing w:line="292" w:lineRule="auto" w:before="174"/>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263234</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27146pt;width:1.65pt;height:1.65pt;mso-position-horizontal-relative:page;mso-position-vertical-relative:paragraph;z-index:15748096" id="docshape44" coordorigin="1670,415" coordsize="33,33" path="m1691,447l1682,447,1678,446,1671,439,1670,435,1670,426,1671,422,1678,416,1682,415,1691,415,1694,416,1701,422,1702,426,1702,431,1702,435,1701,439,1694,446,1691,447xe" filled="true" fillcolor="#090909" stroked="false">
                <v:path arrowok="t"/>
                <v:fill type="solid"/>
                <w10:wrap type="none"/>
              </v:shape>
            </w:pict>
          </mc:Fallback>
        </mc:AlternateContent>
      </w:r>
      <w:r>
        <w:rPr>
          <w:color w:val="6E6158"/>
        </w:rPr>
        <w:t>Presenter, Violence and the ADA, Arizona SHRM Employment Law &amp; Legislative Conference, February 2024</w:t>
      </w:r>
    </w:p>
    <w:p>
      <w:pPr>
        <w:pStyle w:val="BodyText"/>
        <w:spacing w:line="302" w:lineRule="auto" w:before="124"/>
        <w:ind w:right="698"/>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236193</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881pt;width:1.65pt;height:1.65pt;mso-position-horizontal-relative:page;mso-position-vertical-relative:paragraph;z-index:15748608" id="docshape45"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Cultivating HR Excellence, 10 Qualities that Make HR Superstars in the Eyes of Outside</w:t>
      </w:r>
      <w:r>
        <w:rPr>
          <w:color w:val="6E6158"/>
          <w:spacing w:val="19"/>
        </w:rPr>
        <w:t> </w:t>
      </w:r>
      <w:r>
        <w:rPr>
          <w:color w:val="6E6158"/>
        </w:rPr>
        <w:t>Counsel,</w:t>
      </w:r>
      <w:r>
        <w:rPr>
          <w:color w:val="6E6158"/>
          <w:spacing w:val="19"/>
        </w:rPr>
        <w:t> </w:t>
      </w:r>
      <w:r>
        <w:rPr>
          <w:color w:val="6E6158"/>
        </w:rPr>
        <w:t>Arizona</w:t>
      </w:r>
      <w:r>
        <w:rPr>
          <w:color w:val="6E6158"/>
          <w:spacing w:val="19"/>
        </w:rPr>
        <w:t> </w:t>
      </w:r>
      <w:r>
        <w:rPr>
          <w:color w:val="6E6158"/>
        </w:rPr>
        <w:t>SHRM</w:t>
      </w:r>
      <w:r>
        <w:rPr>
          <w:color w:val="6E6158"/>
          <w:spacing w:val="19"/>
        </w:rPr>
        <w:t> </w:t>
      </w:r>
      <w:r>
        <w:rPr>
          <w:color w:val="6E6158"/>
        </w:rPr>
        <w:t>Employment</w:t>
      </w:r>
      <w:r>
        <w:rPr>
          <w:color w:val="6E6158"/>
          <w:spacing w:val="19"/>
        </w:rPr>
        <w:t> </w:t>
      </w:r>
      <w:r>
        <w:rPr>
          <w:color w:val="6E6158"/>
        </w:rPr>
        <w:t>Law</w:t>
      </w:r>
      <w:r>
        <w:rPr>
          <w:color w:val="6E6158"/>
          <w:spacing w:val="19"/>
        </w:rPr>
        <w:t> </w:t>
      </w:r>
      <w:r>
        <w:rPr>
          <w:color w:val="6E6158"/>
        </w:rPr>
        <w:t>&amp;</w:t>
      </w:r>
      <w:r>
        <w:rPr>
          <w:color w:val="6E6158"/>
          <w:spacing w:val="19"/>
        </w:rPr>
        <w:t> </w:t>
      </w:r>
      <w:r>
        <w:rPr>
          <w:color w:val="6E6158"/>
        </w:rPr>
        <w:t>Legislative</w:t>
      </w:r>
      <w:r>
        <w:rPr>
          <w:color w:val="6E6158"/>
          <w:spacing w:val="19"/>
        </w:rPr>
        <w:t> </w:t>
      </w:r>
      <w:r>
        <w:rPr>
          <w:color w:val="6E6158"/>
        </w:rPr>
        <w:t>Conference,</w:t>
      </w:r>
      <w:r>
        <w:rPr>
          <w:color w:val="6E6158"/>
          <w:spacing w:val="19"/>
        </w:rPr>
        <w:t> </w:t>
      </w:r>
      <w:r>
        <w:rPr>
          <w:color w:val="6E6158"/>
        </w:rPr>
        <w:t>February</w:t>
      </w:r>
      <w:r>
        <w:rPr>
          <w:color w:val="6E6158"/>
          <w:spacing w:val="19"/>
        </w:rPr>
        <w:t> </w:t>
      </w:r>
      <w:r>
        <w:rPr>
          <w:color w:val="6E6158"/>
        </w:rPr>
        <w:t>2024</w:t>
      </w:r>
    </w:p>
    <w:p>
      <w:pPr>
        <w:pStyle w:val="BodyText"/>
        <w:spacing w:before="112"/>
        <w:ind w:right="0"/>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136057</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13223pt;width:1.65pt;height:1.65pt;mso-position-horizontal-relative:page;mso-position-vertical-relative:paragraph;z-index:15749120" id="docshape46" coordorigin="1670,214" coordsize="33,33" path="m1691,247l1682,247,1678,245,1671,239,1670,235,1670,226,1671,222,1678,216,1682,214,1691,214,1694,216,1701,222,1702,226,1702,231,1702,235,1701,239,1694,245,1691,247xe" filled="true" fillcolor="#090909" stroked="false">
                <v:path arrowok="t"/>
                <v:fill type="solid"/>
                <w10:wrap type="none"/>
              </v:shape>
            </w:pict>
          </mc:Fallback>
        </mc:AlternateContent>
      </w:r>
      <w:r>
        <w:rPr>
          <w:color w:val="6E6158"/>
        </w:rPr>
        <w:t>Presenter,</w:t>
      </w:r>
      <w:r>
        <w:rPr>
          <w:color w:val="6E6158"/>
          <w:spacing w:val="11"/>
        </w:rPr>
        <w:t> </w:t>
      </w:r>
      <w:r>
        <w:rPr>
          <w:color w:val="6E6158"/>
        </w:rPr>
        <w:t>Labor</w:t>
      </w:r>
      <w:r>
        <w:rPr>
          <w:color w:val="6E6158"/>
          <w:spacing w:val="11"/>
        </w:rPr>
        <w:t> </w:t>
      </w:r>
      <w:r>
        <w:rPr>
          <w:color w:val="6E6158"/>
        </w:rPr>
        <w:t>and</w:t>
      </w:r>
      <w:r>
        <w:rPr>
          <w:color w:val="6E6158"/>
          <w:spacing w:val="12"/>
        </w:rPr>
        <w:t> </w:t>
      </w:r>
      <w:r>
        <w:rPr>
          <w:color w:val="6E6158"/>
        </w:rPr>
        <w:t>Employment</w:t>
      </w:r>
      <w:r>
        <w:rPr>
          <w:color w:val="6E6158"/>
          <w:spacing w:val="11"/>
        </w:rPr>
        <w:t> </w:t>
      </w:r>
      <w:r>
        <w:rPr>
          <w:color w:val="6E6158"/>
        </w:rPr>
        <w:t>Law,</w:t>
      </w:r>
      <w:r>
        <w:rPr>
          <w:color w:val="6E6158"/>
          <w:spacing w:val="12"/>
        </w:rPr>
        <w:t> </w:t>
      </w:r>
      <w:r>
        <w:rPr>
          <w:color w:val="6E6158"/>
        </w:rPr>
        <w:t>ASU</w:t>
      </w:r>
      <w:r>
        <w:rPr>
          <w:color w:val="6E6158"/>
          <w:spacing w:val="11"/>
        </w:rPr>
        <w:t> </w:t>
      </w:r>
      <w:r>
        <w:rPr>
          <w:color w:val="6E6158"/>
        </w:rPr>
        <w:t>Law</w:t>
      </w:r>
      <w:r>
        <w:rPr>
          <w:color w:val="6E6158"/>
          <w:spacing w:val="11"/>
        </w:rPr>
        <w:t> </w:t>
      </w:r>
      <w:r>
        <w:rPr>
          <w:color w:val="6E6158"/>
        </w:rPr>
        <w:t>School,</w:t>
      </w:r>
      <w:r>
        <w:rPr>
          <w:color w:val="6E6158"/>
          <w:spacing w:val="12"/>
        </w:rPr>
        <w:t> </w:t>
      </w:r>
      <w:r>
        <w:rPr>
          <w:color w:val="6E6158"/>
        </w:rPr>
        <w:t>November</w:t>
      </w:r>
      <w:r>
        <w:rPr>
          <w:color w:val="6E6158"/>
          <w:spacing w:val="11"/>
        </w:rPr>
        <w:t> </w:t>
      </w:r>
      <w:r>
        <w:rPr>
          <w:color w:val="6E6158"/>
          <w:spacing w:val="-4"/>
        </w:rPr>
        <w:t>2023</w:t>
      </w:r>
    </w:p>
    <w:p>
      <w:pPr>
        <w:pStyle w:val="BodyText"/>
        <w:spacing w:after="0"/>
        <w:sectPr>
          <w:pgSz w:w="12240" w:h="15840"/>
          <w:pgMar w:top="500" w:bottom="280" w:left="1440" w:right="1080"/>
        </w:sectPr>
      </w:pPr>
    </w:p>
    <w:p>
      <w:pPr>
        <w:pStyle w:val="BodyText"/>
        <w:spacing w:line="292" w:lineRule="auto" w:before="83"/>
        <w:ind w:right="750"/>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205444</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9632" id="docshape47"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Presenter, Finding and Keeping the Best Talent, Arizona SHRM Annual Conference, August </w:t>
      </w:r>
      <w:r>
        <w:rPr>
          <w:color w:val="6E6158"/>
          <w:spacing w:val="-4"/>
        </w:rPr>
        <w:t>2023</w:t>
      </w:r>
    </w:p>
    <w:p>
      <w:pPr>
        <w:pStyle w:val="BodyText"/>
        <w:spacing w:line="292" w:lineRule="auto" w:before="132"/>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324035</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14589pt;width:1.65pt;height:1.65pt;mso-position-horizontal-relative:page;mso-position-vertical-relative:paragraph;z-index:15750144" id="docshape48"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Presenter, Leave Abuse: How to Manage Employee Attendance While Complying with </w:t>
      </w:r>
      <w:r>
        <w:rPr>
          <w:color w:val="6E6158"/>
        </w:rPr>
        <w:t>a Growing Number of Protected Absences, Arizona SHRM Employment Law &amp; Legislative</w:t>
      </w:r>
      <w:r>
        <w:rPr>
          <w:color w:val="6E6158"/>
          <w:spacing w:val="40"/>
        </w:rPr>
        <w:t> </w:t>
      </w:r>
      <w:r>
        <w:rPr>
          <w:color w:val="6E6158"/>
        </w:rPr>
        <w:t>Conference, February 2023</w:t>
      </w:r>
    </w:p>
    <w:p>
      <w:pPr>
        <w:pStyle w:val="BodyText"/>
        <w:spacing w:line="302" w:lineRule="auto" w:before="124"/>
        <w:ind w:right="750"/>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236206</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919pt;width:1.65pt;height:1.65pt;mso-position-horizontal-relative:page;mso-position-vertical-relative:paragraph;z-index:15750656" id="docshape49"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COVID-19 Workplace Issues and the Future, State Bar of Arizona </w:t>
      </w:r>
      <w:r>
        <w:rPr>
          <w:color w:val="6E6158"/>
        </w:rPr>
        <w:t>Annual Employment and Labor Law Fall Seminar, October 2021</w:t>
      </w:r>
    </w:p>
    <w:p>
      <w:pPr>
        <w:pStyle w:val="BodyText"/>
        <w:spacing w:line="292" w:lineRule="auto" w:before="112"/>
        <w:ind w:right="750"/>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223915</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1121pt;width:1.65pt;height:1.65pt;mso-position-horizontal-relative:page;mso-position-vertical-relative:paragraph;z-index:15751168" id="docshape50"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r>
        <w:rPr>
          <w:color w:val="6E6158"/>
        </w:rPr>
        <w:t>Presenter, COVID-19 Changes to Arizona Employment Law, Arizona Paralegal </w:t>
      </w:r>
      <w:r>
        <w:rPr>
          <w:color w:val="6E6158"/>
        </w:rPr>
        <w:t>Association, May 2020</w:t>
      </w:r>
    </w:p>
    <w:p>
      <w:pPr>
        <w:pStyle w:val="BodyText"/>
        <w:spacing w:line="302" w:lineRule="auto" w:before="124"/>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236245</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1999pt;width:1.65pt;height:1.65pt;mso-position-horizontal-relative:page;mso-position-vertical-relative:paragraph;z-index:15751680" id="docshape5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The Rise of Local Employment Law, States and Municipalities Take Control in Light of Federal Gridlock, State Bar of Arizona Annual Convention, June 2018</w:t>
      </w: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292" w:lineRule="auto" w:before="146"/>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245450</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6801pt;width:1.65pt;height:1.65pt;mso-position-horizontal-relative:page;mso-position-vertical-relative:paragraph;z-index:15752192" id="docshape52" coordorigin="1670,387" coordsize="33,33" path="m1691,419l1682,419,1678,417,1671,411,1670,407,1670,398,1671,394,1678,388,1682,387,1691,387,1694,388,1701,394,1702,398,1702,403,1702,407,1701,411,1694,417,1691,419xe" filled="true" fillcolor="#090909" stroked="false">
                <v:path arrowok="t"/>
                <v:fill type="solid"/>
                <w10:wrap type="none"/>
              </v:shape>
            </w:pict>
          </mc:Fallback>
        </mc:AlternateContent>
      </w:r>
      <w:r>
        <w:rPr>
          <w:color w:val="6E6158"/>
        </w:rPr>
        <w:t>Scoutmaster, Team Coach, Climbing Instructor, and District Eagle Coordinator, Boy Scouts of </w:t>
      </w:r>
      <w:r>
        <w:rPr>
          <w:color w:val="6E6158"/>
          <w:spacing w:val="-2"/>
        </w:rPr>
        <w:t>America</w:t>
      </w:r>
    </w:p>
    <w:p>
      <w:pPr>
        <w:pStyle w:val="BodyText"/>
        <w:spacing w:line="420" w:lineRule="auto" w:before="132"/>
        <w:ind w:right="4628"/>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143179</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3988pt;width:1.65pt;height:1.65pt;mso-position-horizontal-relative:page;mso-position-vertical-relative:paragraph;z-index:15752704" id="docshape53"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401545</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617735pt;width:1.65pt;height:1.65pt;mso-position-horizontal-relative:page;mso-position-vertical-relative:paragraph;z-index:15753216" id="docshape54" coordorigin="1670,632" coordsize="33,33" path="m1691,665l1682,665,1678,663,1671,657,1670,653,1670,644,1671,640,1678,634,1682,632,1691,632,1694,634,1701,640,1702,644,1702,649,1702,653,1701,657,1694,663,1691,665xe" filled="true" fillcolor="#090909" stroked="false">
                <v:path arrowok="t"/>
                <v:fill type="solid"/>
                <w10:wrap type="none"/>
              </v:shape>
            </w:pict>
          </mc:Fallback>
        </mc:AlternateContent>
      </w:r>
      <w:r>
        <w:rPr>
          <w:color w:val="6E6158"/>
        </w:rPr>
        <w:t>Homeroom Parent, Capital Elementary </w:t>
      </w:r>
      <w:r>
        <w:rPr>
          <w:color w:val="6E6158"/>
        </w:rPr>
        <w:t>School Court Advisor, Children’s Law Center</w:t>
      </w:r>
    </w:p>
    <w:p>
      <w:pPr>
        <w:pStyle w:val="BodyText"/>
        <w:spacing w:line="420" w:lineRule="auto" w:before="0"/>
        <w:ind w:right="3606"/>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63517</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1393pt;width:1.65pt;height:1.65pt;mso-position-horizontal-relative:page;mso-position-vertical-relative:paragraph;z-index:15753728" id="docshape55"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321883</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45142pt;width:1.65pt;height:1.65pt;mso-position-horizontal-relative:page;mso-position-vertical-relative:paragraph;z-index:15754240" id="docshape56" coordorigin="1670,507" coordsize="33,33" path="m1691,539l1682,539,1678,538,1671,532,1670,528,1670,519,1671,515,1678,508,1682,507,1691,507,1694,508,1701,515,1702,519,1702,523,1702,528,1701,532,1694,538,1691,539xe" filled="true" fillcolor="#090909" stroked="false">
                <v:path arrowok="t"/>
                <v:fill type="solid"/>
                <w10:wrap type="none"/>
              </v:shape>
            </w:pict>
          </mc:Fallback>
        </mc:AlternateContent>
      </w:r>
      <w:r>
        <w:rPr>
          <w:color w:val="6E6158"/>
        </w:rPr>
        <w:t>Lawyer Representative, Ninth Circuit Court of </w:t>
      </w:r>
      <w:r>
        <w:rPr>
          <w:color w:val="6E6158"/>
        </w:rPr>
        <w:t>Appeals Member, Volunteer Lawyer Program</w:t>
      </w:r>
    </w:p>
    <w:p>
      <w:pPr>
        <w:pStyle w:val="BodyText"/>
        <w:spacing w:before="5"/>
        <w:ind w:right="0"/>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62508</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21923pt;width:1.65pt;height:1.65pt;mso-position-horizontal-relative:page;mso-position-vertical-relative:paragraph;z-index:15754752" id="docshape57" coordorigin="1670,98" coordsize="33,33" path="m1691,131l1682,131,1678,129,1671,123,1670,119,1670,110,1671,106,1678,100,1682,98,1691,98,1694,100,1701,106,1702,110,1702,115,1702,119,1701,123,1694,129,1691,131xe" filled="true" fillcolor="#090909" stroked="false">
                <v:path arrowok="t"/>
                <v:fill type="solid"/>
                <w10:wrap type="none"/>
              </v:shape>
            </w:pict>
          </mc:Fallback>
        </mc:AlternateContent>
      </w:r>
      <w:r>
        <w:rPr>
          <w:color w:val="6E6158"/>
        </w:rPr>
        <w:t>Reuben</w:t>
      </w:r>
      <w:r>
        <w:rPr>
          <w:color w:val="6E6158"/>
          <w:spacing w:val="12"/>
        </w:rPr>
        <w:t> </w:t>
      </w:r>
      <w:r>
        <w:rPr>
          <w:color w:val="6E6158"/>
        </w:rPr>
        <w:t>Clark</w:t>
      </w:r>
      <w:r>
        <w:rPr>
          <w:color w:val="6E6158"/>
          <w:spacing w:val="13"/>
        </w:rPr>
        <w:t> </w:t>
      </w:r>
      <w:r>
        <w:rPr>
          <w:color w:val="6E6158"/>
        </w:rPr>
        <w:t>Law</w:t>
      </w:r>
      <w:r>
        <w:rPr>
          <w:color w:val="6E6158"/>
          <w:spacing w:val="13"/>
        </w:rPr>
        <w:t> </w:t>
      </w:r>
      <w:r>
        <w:rPr>
          <w:color w:val="6E6158"/>
        </w:rPr>
        <w:t>Society,</w:t>
      </w:r>
      <w:r>
        <w:rPr>
          <w:color w:val="6E6158"/>
          <w:spacing w:val="12"/>
        </w:rPr>
        <w:t> </w:t>
      </w:r>
      <w:r>
        <w:rPr>
          <w:color w:val="6E6158"/>
        </w:rPr>
        <w:t>Leadership</w:t>
      </w:r>
      <w:r>
        <w:rPr>
          <w:color w:val="6E6158"/>
          <w:spacing w:val="13"/>
        </w:rPr>
        <w:t> </w:t>
      </w:r>
      <w:r>
        <w:rPr>
          <w:color w:val="6E6158"/>
        </w:rPr>
        <w:t>Team,</w:t>
      </w:r>
      <w:r>
        <w:rPr>
          <w:color w:val="6E6158"/>
          <w:spacing w:val="13"/>
        </w:rPr>
        <w:t> </w:t>
      </w:r>
      <w:r>
        <w:rPr>
          <w:color w:val="6E6158"/>
        </w:rPr>
        <w:t>Phoenix</w:t>
      </w:r>
      <w:r>
        <w:rPr>
          <w:color w:val="6E6158"/>
          <w:spacing w:val="12"/>
        </w:rPr>
        <w:t> </w:t>
      </w:r>
      <w:r>
        <w:rPr>
          <w:color w:val="6E6158"/>
          <w:spacing w:val="-2"/>
        </w:rPr>
        <w:t>Chapter.</w:t>
      </w:r>
    </w:p>
    <w:p>
      <w:pPr>
        <w:pStyle w:val="BodyText"/>
        <w:spacing w:line="420" w:lineRule="auto" w:before="174"/>
        <w:ind w:right="1920"/>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174940</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4815pt;width:1.65pt;height:1.65pt;mso-position-horizontal-relative:page;mso-position-vertical-relative:paragraph;z-index:15755264" id="docshape58"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433305</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853pt;width:1.65pt;height:1.65pt;mso-position-horizontal-relative:page;mso-position-vertical-relative:paragraph;z-index:15755776" id="docshape59"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691670</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62273pt;width:1.65pt;height:1.65pt;mso-position-horizontal-relative:page;mso-position-vertical-relative:paragraph;z-index:15756288" id="docshape60" coordorigin="1670,1089" coordsize="33,33" path="m1691,1122l1682,1122,1678,1120,1671,1114,1670,1110,1670,1101,1671,1097,1678,1091,1682,1089,1691,1089,1694,1091,1701,1097,1702,1101,1702,1106,1702,1110,1701,1114,1694,1120,1691,1122xe" filled="true" fillcolor="#090909" stroked="false">
                <v:path arrowok="t"/>
                <v:fill type="solid"/>
                <w10:wrap type="none"/>
              </v:shape>
            </w:pict>
          </mc:Fallback>
        </mc:AlternateContent>
      </w:r>
      <w:r>
        <w:rPr>
          <w:color w:val="6E6158"/>
        </w:rPr>
        <w:t>Moderator and Panel Judge, Ninth Circuit Annual Civics Essay Writing </w:t>
      </w:r>
      <w:r>
        <w:rPr>
          <w:color w:val="6E6158"/>
        </w:rPr>
        <w:t>Contest Active</w:t>
      </w:r>
      <w:r>
        <w:rPr>
          <w:color w:val="6E6158"/>
          <w:spacing w:val="37"/>
        </w:rPr>
        <w:t> </w:t>
      </w:r>
      <w:r>
        <w:rPr>
          <w:color w:val="6E6158"/>
        </w:rPr>
        <w:t>in</w:t>
      </w:r>
      <w:r>
        <w:rPr>
          <w:color w:val="6E6158"/>
          <w:spacing w:val="37"/>
        </w:rPr>
        <w:t> </w:t>
      </w:r>
      <w:r>
        <w:rPr>
          <w:color w:val="6E6158"/>
        </w:rPr>
        <w:t>leadership</w:t>
      </w:r>
      <w:r>
        <w:rPr>
          <w:color w:val="6E6158"/>
          <w:spacing w:val="36"/>
        </w:rPr>
        <w:t> </w:t>
      </w:r>
      <w:r>
        <w:rPr>
          <w:color w:val="6E6158"/>
        </w:rPr>
        <w:t>and</w:t>
      </w:r>
      <w:r>
        <w:rPr>
          <w:color w:val="6E6158"/>
          <w:spacing w:val="37"/>
        </w:rPr>
        <w:t> </w:t>
      </w:r>
      <w:r>
        <w:rPr>
          <w:color w:val="6E6158"/>
        </w:rPr>
        <w:t>service</w:t>
      </w:r>
      <w:r>
        <w:rPr>
          <w:color w:val="6E6158"/>
          <w:spacing w:val="37"/>
        </w:rPr>
        <w:t> </w:t>
      </w:r>
      <w:r>
        <w:rPr>
          <w:color w:val="6E6158"/>
        </w:rPr>
        <w:t>positions</w:t>
      </w:r>
      <w:r>
        <w:rPr>
          <w:color w:val="6E6158"/>
          <w:spacing w:val="36"/>
        </w:rPr>
        <w:t> </w:t>
      </w:r>
      <w:r>
        <w:rPr>
          <w:color w:val="6E6158"/>
        </w:rPr>
        <w:t>within</w:t>
      </w:r>
      <w:r>
        <w:rPr>
          <w:color w:val="6E6158"/>
          <w:spacing w:val="37"/>
        </w:rPr>
        <w:t> </w:t>
      </w:r>
      <w:r>
        <w:rPr>
          <w:color w:val="6E6158"/>
        </w:rPr>
        <w:t>his</w:t>
      </w:r>
      <w:r>
        <w:rPr>
          <w:color w:val="6E6158"/>
          <w:spacing w:val="37"/>
        </w:rPr>
        <w:t> </w:t>
      </w:r>
      <w:r>
        <w:rPr>
          <w:color w:val="6E6158"/>
        </w:rPr>
        <w:t>church</w:t>
      </w:r>
      <w:r>
        <w:rPr>
          <w:color w:val="6E6158"/>
          <w:spacing w:val="36"/>
        </w:rPr>
        <w:t> </w:t>
      </w:r>
      <w:r>
        <w:rPr>
          <w:color w:val="6E6158"/>
        </w:rPr>
        <w:t>community Regular Blood Donor</w:t>
      </w:r>
    </w:p>
    <w:p>
      <w:pPr>
        <w:pStyle w:val="Heading1"/>
        <w:spacing w:before="167"/>
      </w:pPr>
      <w:r>
        <w:rPr>
          <w:color w:val="FF8100"/>
          <w:spacing w:val="-2"/>
        </w:rPr>
        <w:t>ADMISSIONS</w:t>
      </w:r>
    </w:p>
    <w:p>
      <w:pPr>
        <w:pStyle w:val="BodyText"/>
        <w:spacing w:line="420" w:lineRule="auto" w:before="146"/>
        <w:ind w:right="8298"/>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152418</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1463pt;width:1.65pt;height:1.65pt;mso-position-horizontal-relative:page;mso-position-vertical-relative:paragraph;z-index:15756800" id="docshape61"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415951</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056pt;width:1.65pt;height:1.65pt;mso-position-horizontal-relative:page;mso-position-vertical-relative:paragraph;z-index:15757312" id="docshape62"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spacing w:val="-2"/>
        </w:rPr>
        <w:t>Arizona </w:t>
      </w:r>
      <w:r>
        <w:rPr>
          <w:color w:val="6E6158"/>
          <w:spacing w:val="-4"/>
        </w:rPr>
        <w:t>Utah</w:t>
      </w:r>
    </w:p>
    <w:p>
      <w:pPr>
        <w:pStyle w:val="BodyText"/>
        <w:spacing w:line="231" w:lineRule="exact" w:before="0"/>
        <w:ind w:right="0"/>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63866</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8854pt;width:1.65pt;height:1.65pt;mso-position-horizontal-relative:page;mso-position-vertical-relative:paragraph;z-index:15757824" id="docshape63"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p>
      <w:pPr>
        <w:pStyle w:val="BodyText"/>
        <w:spacing w:before="182"/>
        <w:ind w:right="0"/>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175315</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4359pt;width:1.65pt;height:1.65pt;mso-position-horizontal-relative:page;mso-position-vertical-relative:paragraph;z-index:15758336" id="docshape64"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9th</w:t>
      </w:r>
      <w:r>
        <w:rPr>
          <w:color w:val="6E6158"/>
          <w:spacing w:val="9"/>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170185</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400397pt;width:1.65pt;height:1.65pt;mso-position-horizontal-relative:page;mso-position-vertical-relative:paragraph;z-index:15758848" id="docshape65" coordorigin="1670,268" coordsize="33,33" path="m1691,301l1682,301,1678,299,1671,293,1670,289,1670,280,1671,276,1678,270,1682,268,1691,268,1694,270,1701,276,1702,280,1702,284,1702,289,1701,293,1694,299,1691,301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10th</w:t>
      </w:r>
      <w:r>
        <w:rPr>
          <w:color w:val="6E6158"/>
          <w:spacing w:val="10"/>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175302</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3308pt;width:1.65pt;height:1.65pt;mso-position-horizontal-relative:page;mso-position-vertical-relative:paragraph;z-index:15759360" id="docshape66"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74"/>
        <w:ind w:right="0"/>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175251</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937pt;width:1.65pt;height:1.65pt;mso-position-horizontal-relative:page;mso-position-vertical-relative:paragraph;z-index:15759872" id="docshape67"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4"/>
        </w:rPr>
        <w:t>Utah</w:t>
      </w:r>
    </w:p>
    <w:p>
      <w:pPr>
        <w:pStyle w:val="BodyText"/>
        <w:spacing w:before="49"/>
        <w:ind w:left="0" w:right="0"/>
        <w:rPr>
          <w:sz w:val="24"/>
        </w:rPr>
      </w:pPr>
    </w:p>
    <w:p>
      <w:pPr>
        <w:pStyle w:val="Heading1"/>
        <w:spacing w:before="0"/>
      </w:pPr>
      <w:r>
        <w:rPr>
          <w:color w:val="FF8100"/>
          <w:spacing w:val="-2"/>
        </w:rPr>
        <w:t>LANGUAGES</w:t>
      </w:r>
    </w:p>
    <w:p>
      <w:pPr>
        <w:pStyle w:val="BodyText"/>
        <w:spacing w:before="147"/>
        <w:ind w:right="0"/>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152760</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837pt;width:1.65pt;height:1.65pt;mso-position-horizontal-relative:page;mso-position-vertical-relative:paragraph;z-index:15760384" id="docshape68" coordorigin="1670,241" coordsize="33,33" path="m1691,273l1682,273,1678,272,1671,265,1670,261,1670,252,1671,249,1678,242,1682,241,1691,241,1694,242,1701,249,1702,252,1702,257,1702,261,1701,265,1694,272,1691,273xe" filled="true" fillcolor="#090909" stroked="false">
                <v:path arrowok="t"/>
                <v:fill type="solid"/>
                <w10:wrap type="none"/>
              </v:shape>
            </w:pict>
          </mc:Fallback>
        </mc:AlternateContent>
      </w:r>
      <w:r>
        <w:rPr>
          <w:color w:val="6E6158"/>
          <w:spacing w:val="-2"/>
        </w:rPr>
        <w:t>Portuguese</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351" w:right="67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dbarton@fennemorelaw.com" TargetMode="External"/><Relationship Id="rId11" Type="http://schemas.openxmlformats.org/officeDocument/2006/relationships/hyperlink" Target="https://www.fennemorelaw.com/the-end-of-disparate-impact-doj-overhauls-federal-civil-rights-enforcement-reshaping-compliance-obligations-for-federally-funded-entities/" TargetMode="External"/><Relationship Id="rId12" Type="http://schemas.openxmlformats.org/officeDocument/2006/relationships/hyperlink" Target="https://azbigmedia.com/business/one-big-beautiful-bill-what-employers-need-to-know/" TargetMode="External"/><Relationship Id="rId13" Type="http://schemas.openxmlformats.org/officeDocument/2006/relationships/hyperlink" Target="https://inbusinessphx.com/government-compliance/what-does-the-revived-paid-program-mean-for-employers" TargetMode="External"/><Relationship Id="rId14" Type="http://schemas.openxmlformats.org/officeDocument/2006/relationships/hyperlink" Target="https://www.fennemorelaw.com/supreme-court-confirms-title-vii-protects-minority-and-majority-members-equ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T. Barton - Fennemore</dc:title>
  <dcterms:created xsi:type="dcterms:W3CDTF">2026-03-23T17:44:04Z</dcterms:created>
  <dcterms:modified xsi:type="dcterms:W3CDTF">2026-03-23T17:44:04Z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2026-03-23T00:00:00Z</vt:filetime>
  </property>
  <property fmtid="{D5CDD505-2E9C-101B-9397-08002B2CF9AE}" pid="5" name="Producer">
    <vt:lpwstr>Skia/PDF m142</vt:lpwstr>
  </property>
</Properties>
</file>