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67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-5303073</wp:posOffset>
                </wp:positionV>
                <wp:extent cx="6071870" cy="52939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293995"/>
                          <a:chExt cx="6071870" cy="52939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555110"/>
                            <a:ext cx="6071870" cy="167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679575">
                                <a:moveTo>
                                  <a:pt x="6071591" y="1679376"/>
                                </a:moveTo>
                                <a:lnTo>
                                  <a:pt x="0" y="1679376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679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Deb Polly 5294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286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28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286760">
                                <a:moveTo>
                                  <a:pt x="3033212" y="3286410"/>
                                </a:moveTo>
                                <a:lnTo>
                                  <a:pt x="0" y="328641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286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37775" y="1369338"/>
                            <a:ext cx="1834514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4514" h="320675">
                                <a:moveTo>
                                  <a:pt x="18344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34400" y="320382"/>
                                </a:lnTo>
                                <a:lnTo>
                                  <a:pt x="1834400" y="315214"/>
                                </a:lnTo>
                                <a:close/>
                              </a:path>
                              <a:path w="1834514" h="320675">
                                <a:moveTo>
                                  <a:pt x="183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34400" y="5168"/>
                                </a:lnTo>
                                <a:lnTo>
                                  <a:pt x="183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36011" y="763308"/>
                            <a:ext cx="184848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DEBRA J. 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9"/>
                                </w:rPr>
                                <w:t>POLLY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53128" y="1859626"/>
                            <a:ext cx="1814195" cy="763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6" w:val="left" w:leader="none"/>
                                </w:tabs>
                                <w:spacing w:before="55"/>
                                <w:ind w:left="-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602.916.5509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16" w:val="left" w:leader="none"/>
                                </w:tabs>
                                <w:spacing w:before="54"/>
                                <w:ind w:left="-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59659" y="2893089"/>
                            <a:ext cx="14008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dpolly@fennemorelaw.com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23300" y="2805245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2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9929" y="415943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59290" y="4148746"/>
                            <a:ext cx="3569335" cy="66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Iroquois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society,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leaders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encouraged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remember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seven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generations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past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consider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seven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generations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future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making decisions that affect the people.</w:t>
                              </w:r>
                            </w:p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Wilma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Mankiller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7434" y="415943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417.56485pt;width:478.1pt;height:416.85pt;mso-position-horizontal-relative:page;mso-position-vertical-relative:paragraph;z-index:15728640" id="docshapegroup1" coordorigin="1336,-8351" coordsize="9562,8337">
                <v:rect style="position:absolute;left:1336;top:-2753;width:9562;height:2645" id="docshape2" filled="true" fillcolor="#002e6d" stroked="false">
                  <v:fill type="solid"/>
                </v:rect>
                <v:shape style="position:absolute;left:1336;top:-8352;width:2165;height:424" type="#_x0000_t75" id="docshape3" alt="Fennemore" href="https://www.fennemorelaw.com/" stroked="false">
                  <v:imagedata r:id="rId5" o:title=""/>
                </v:shape>
                <v:shape style="position:absolute;left:1336;top:-7929;width:4785;height:5176" type="#_x0000_t75" id="docshape4" alt="Deb Polly 5294web" stroked="false">
                  <v:imagedata r:id="rId7" o:title=""/>
                </v:shape>
                <v:rect style="position:absolute;left:6121;top:-7929;width:4777;height:5176" id="docshape5" filled="true" fillcolor="#262424" stroked="false">
                  <v:fill type="solid"/>
                </v:rect>
                <v:shape style="position:absolute;left:7064;top:-6195;width:2889;height:505" id="docshape6" coordorigin="7065,-6195" coordsize="2889,505" path="m9954,-5698l7065,-5698,7065,-5690,9954,-5690,9954,-5698xm9954,-6195l7065,-6195,7065,-6187,9954,-6187,9954,-6195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62;top:-7150;width:2911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DEBRA J. </w:t>
                        </w:r>
                        <w:r>
                          <w:rPr>
                            <w:color w:val="FFFFFF"/>
                            <w:spacing w:val="-9"/>
                            <w:sz w:val="39"/>
                          </w:rPr>
                          <w:t>POLLY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89;top:-5423;width:2857;height:1203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16" w:val="left" w:leader="none"/>
                          </w:tabs>
                          <w:spacing w:before="55"/>
                          <w:ind w:left="-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602.916.5509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  <w:p>
                        <w:pPr>
                          <w:tabs>
                            <w:tab w:pos="1616" w:val="left" w:leader="none"/>
                          </w:tabs>
                          <w:spacing w:before="54"/>
                          <w:ind w:left="-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602.916.5509</w:t>
                        </w:r>
                      </w:p>
                    </w:txbxContent>
                  </v:textbox>
                  <w10:wrap type="none"/>
                </v:shape>
                <v:shape style="position:absolute;left:7414;top:-3796;width:2206;height:200" type="#_x0000_t202" id="docshape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dpolly@fennemorelaw.com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3934;width:43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2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01;width:752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19;top:-1818;width:5621;height:1054" type="#_x0000_t202" id="docshape12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Iroquois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society,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leaders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encouraged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remember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seven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generations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past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consider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seven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generations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future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making decisions that affect the people.</w:t>
                        </w:r>
                      </w:p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Wilma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Mankiller</w:t>
                        </w:r>
                      </w:p>
                    </w:txbxContent>
                  </v:textbox>
                  <w10:wrap type="none"/>
                </v:shape>
                <v:shape style="position:absolute;left:8985;top:-1801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DEBRA</w:t>
      </w:r>
      <w:r>
        <w:rPr>
          <w:color w:val="FF8100"/>
          <w:spacing w:val="5"/>
        </w:rPr>
        <w:t> </w:t>
      </w:r>
      <w:r>
        <w:rPr>
          <w:color w:val="FF8100"/>
        </w:rPr>
        <w:t>J.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POLLY</w:t>
      </w:r>
    </w:p>
    <w:p>
      <w:pPr>
        <w:pStyle w:val="BodyText"/>
        <w:spacing w:line="295" w:lineRule="auto" w:before="147"/>
        <w:ind w:left="99" w:right="378"/>
      </w:pPr>
      <w:r>
        <w:rPr>
          <w:color w:val="6E6158"/>
        </w:rPr>
        <w:t>Debra J. Polly is a Director in Fennemore’s Trusts &amp; Estates practice group, practicing from the</w:t>
      </w:r>
      <w:r>
        <w:rPr>
          <w:color w:val="6E6158"/>
          <w:spacing w:val="40"/>
        </w:rPr>
        <w:t> </w:t>
      </w:r>
      <w:r>
        <w:rPr>
          <w:color w:val="6E6158"/>
        </w:rPr>
        <w:t>firm’s Phoenix office. She advises individuals, families, fiduciaries, and closely held business</w:t>
      </w:r>
      <w:r>
        <w:rPr>
          <w:color w:val="6E6158"/>
          <w:spacing w:val="80"/>
        </w:rPr>
        <w:t> </w:t>
      </w:r>
      <w:r>
        <w:rPr>
          <w:color w:val="6E6158"/>
        </w:rPr>
        <w:t>owners on sophisticated estate planning and wealth transfer strategies, as well as probate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trust</w:t>
      </w:r>
      <w:r>
        <w:rPr>
          <w:color w:val="6E6158"/>
          <w:spacing w:val="38"/>
        </w:rPr>
        <w:t> </w:t>
      </w:r>
      <w:r>
        <w:rPr>
          <w:color w:val="6E6158"/>
        </w:rPr>
        <w:t>administration.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practice</w:t>
      </w:r>
      <w:r>
        <w:rPr>
          <w:color w:val="6E6158"/>
          <w:spacing w:val="38"/>
        </w:rPr>
        <w:t> </w:t>
      </w:r>
      <w:r>
        <w:rPr>
          <w:color w:val="6E6158"/>
        </w:rPr>
        <w:t>includes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trust</w:t>
      </w:r>
      <w:r>
        <w:rPr>
          <w:color w:val="6E6158"/>
          <w:spacing w:val="38"/>
        </w:rPr>
        <w:t> </w:t>
      </w:r>
      <w:r>
        <w:rPr>
          <w:color w:val="6E6158"/>
        </w:rPr>
        <w:t>administration,</w:t>
      </w:r>
      <w:r>
        <w:rPr>
          <w:color w:val="6E6158"/>
          <w:spacing w:val="38"/>
        </w:rPr>
        <w:t> </w:t>
      </w:r>
      <w:r>
        <w:rPr>
          <w:color w:val="6E6158"/>
        </w:rPr>
        <w:t>retirement</w:t>
      </w:r>
      <w:r>
        <w:rPr>
          <w:color w:val="6E6158"/>
          <w:spacing w:val="38"/>
        </w:rPr>
        <w:t> </w:t>
      </w:r>
      <w:r>
        <w:rPr>
          <w:color w:val="6E6158"/>
        </w:rPr>
        <w:t>benefits</w:t>
      </w:r>
    </w:p>
    <w:p>
      <w:pPr>
        <w:pStyle w:val="BodyText"/>
        <w:spacing w:line="292" w:lineRule="auto" w:before="1"/>
        <w:ind w:left="99"/>
      </w:pPr>
      <w:r>
        <w:rPr>
          <w:color w:val="6E6158"/>
        </w:rPr>
        <w:t>planning, estate, gift, and generation-skipping transfer tax planning and compliance, and </w:t>
      </w:r>
      <w:r>
        <w:rPr>
          <w:color w:val="6E6158"/>
        </w:rPr>
        <w:t>family</w:t>
      </w:r>
      <w:r>
        <w:rPr>
          <w:color w:val="6E6158"/>
          <w:spacing w:val="40"/>
        </w:rPr>
        <w:t> </w:t>
      </w:r>
      <w:r>
        <w:rPr>
          <w:color w:val="6E6158"/>
        </w:rPr>
        <w:t>settlement</w:t>
      </w:r>
      <w:r>
        <w:rPr>
          <w:color w:val="6E6158"/>
          <w:spacing w:val="30"/>
        </w:rPr>
        <w:t> </w:t>
      </w:r>
      <w:r>
        <w:rPr>
          <w:color w:val="6E6158"/>
        </w:rPr>
        <w:t>agreements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dispute</w:t>
      </w:r>
      <w:r>
        <w:rPr>
          <w:color w:val="6E6158"/>
          <w:spacing w:val="30"/>
        </w:rPr>
        <w:t> </w:t>
      </w:r>
      <w:r>
        <w:rPr>
          <w:color w:val="6E6158"/>
        </w:rPr>
        <w:t>resolution.</w:t>
      </w:r>
      <w:r>
        <w:rPr>
          <w:color w:val="6E6158"/>
          <w:spacing w:val="30"/>
        </w:rPr>
        <w:t> </w:t>
      </w:r>
      <w:r>
        <w:rPr>
          <w:color w:val="6E6158"/>
        </w:rPr>
        <w:t>Deb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licensed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both</w:t>
      </w:r>
      <w:r>
        <w:rPr>
          <w:color w:val="6E6158"/>
          <w:spacing w:val="30"/>
        </w:rPr>
        <w:t> </w:t>
      </w:r>
      <w:r>
        <w:rPr>
          <w:color w:val="6E6158"/>
        </w:rPr>
        <w:t>Arizona and</w:t>
      </w:r>
      <w:r>
        <w:rPr>
          <w:color w:val="6E6158"/>
          <w:spacing w:val="32"/>
        </w:rPr>
        <w:t> </w:t>
      </w:r>
      <w:r>
        <w:rPr>
          <w:color w:val="6E6158"/>
        </w:rPr>
        <w:t>Nevada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regularly</w:t>
      </w:r>
      <w:r>
        <w:rPr>
          <w:color w:val="6E6158"/>
          <w:spacing w:val="32"/>
        </w:rPr>
        <w:t> </w:t>
      </w:r>
      <w:r>
        <w:rPr>
          <w:color w:val="6E6158"/>
        </w:rPr>
        <w:t>assists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Arizona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Nevada</w:t>
      </w:r>
      <w:r>
        <w:rPr>
          <w:color w:val="6E6158"/>
          <w:spacing w:val="32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planning</w:t>
      </w:r>
      <w:r>
        <w:rPr>
          <w:color w:val="6E6158"/>
          <w:spacing w:val="32"/>
        </w:rPr>
        <w:t> </w:t>
      </w:r>
      <w:r>
        <w:rPr>
          <w:color w:val="6E6158"/>
        </w:rPr>
        <w:t>matters.</w:t>
      </w:r>
    </w:p>
    <w:p>
      <w:pPr>
        <w:pStyle w:val="BodyText"/>
        <w:spacing w:line="292" w:lineRule="auto" w:before="205"/>
        <w:ind w:left="99" w:right="193"/>
      </w:pPr>
      <w:r>
        <w:rPr>
          <w:color w:val="6E6158"/>
        </w:rPr>
        <w:t>Deb brings a rare dual perspective to her practice as both an attorney and an Arizona Certified</w:t>
      </w:r>
      <w:r>
        <w:rPr>
          <w:color w:val="6E6158"/>
          <w:spacing w:val="40"/>
        </w:rPr>
        <w:t> </w:t>
      </w:r>
      <w:r>
        <w:rPr>
          <w:color w:val="6E6158"/>
        </w:rPr>
        <w:t>Public</w:t>
      </w:r>
      <w:r>
        <w:rPr>
          <w:color w:val="6E6158"/>
          <w:spacing w:val="29"/>
        </w:rPr>
        <w:t> </w:t>
      </w:r>
      <w:r>
        <w:rPr>
          <w:color w:val="6E6158"/>
        </w:rPr>
        <w:t>Accountant.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began</w:t>
      </w:r>
      <w:r>
        <w:rPr>
          <w:color w:val="6E6158"/>
          <w:spacing w:val="29"/>
        </w:rPr>
        <w:t> </w:t>
      </w:r>
      <w:r>
        <w:rPr>
          <w:color w:val="6E6158"/>
        </w:rPr>
        <w:t>her</w:t>
      </w:r>
      <w:r>
        <w:rPr>
          <w:color w:val="6E6158"/>
          <w:spacing w:val="29"/>
        </w:rPr>
        <w:t> </w:t>
      </w:r>
      <w:r>
        <w:rPr>
          <w:color w:val="6E6158"/>
        </w:rPr>
        <w:t>career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KPMG,</w:t>
      </w:r>
      <w:r>
        <w:rPr>
          <w:color w:val="6E6158"/>
          <w:spacing w:val="29"/>
        </w:rPr>
        <w:t> </w:t>
      </w:r>
      <w:r>
        <w:rPr>
          <w:color w:val="6E6158"/>
        </w:rPr>
        <w:t>where</w:t>
      </w:r>
      <w:r>
        <w:rPr>
          <w:color w:val="6E6158"/>
          <w:spacing w:val="29"/>
        </w:rPr>
        <w:t> </w:t>
      </w:r>
      <w:r>
        <w:rPr>
          <w:color w:val="6E6158"/>
        </w:rPr>
        <w:t>she</w:t>
      </w:r>
      <w:r>
        <w:rPr>
          <w:color w:val="6E6158"/>
          <w:spacing w:val="29"/>
        </w:rPr>
        <w:t> </w:t>
      </w:r>
      <w:r>
        <w:rPr>
          <w:color w:val="6E6158"/>
        </w:rPr>
        <w:t>focused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planning–related</w:t>
      </w:r>
      <w:r>
        <w:rPr>
          <w:color w:val="6E6158"/>
          <w:spacing w:val="35"/>
        </w:rPr>
        <w:t> </w:t>
      </w:r>
      <w:r>
        <w:rPr>
          <w:color w:val="6E6158"/>
        </w:rPr>
        <w:t>consulting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developed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strong</w:t>
      </w:r>
      <w:r>
        <w:rPr>
          <w:color w:val="6E6158"/>
          <w:spacing w:val="35"/>
        </w:rPr>
        <w:t> </w:t>
      </w:r>
      <w:r>
        <w:rPr>
          <w:color w:val="6E6158"/>
        </w:rPr>
        <w:t>foundation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  <w:r>
        <w:rPr>
          <w:color w:val="6E6158"/>
          <w:spacing w:val="35"/>
        </w:rPr>
        <w:t> </w:t>
      </w:r>
      <w:r>
        <w:rPr>
          <w:color w:val="6E6158"/>
        </w:rPr>
        <w:t>planning.</w:t>
      </w:r>
      <w:r>
        <w:rPr>
          <w:color w:val="6E6158"/>
          <w:spacing w:val="35"/>
        </w:rPr>
        <w:t> </w:t>
      </w:r>
      <w:r>
        <w:rPr>
          <w:color w:val="6E6158"/>
        </w:rPr>
        <w:t>Recognizing</w:t>
      </w:r>
    </w:p>
    <w:p>
      <w:pPr>
        <w:pStyle w:val="BodyText"/>
        <w:spacing w:line="292" w:lineRule="auto" w:before="10"/>
        <w:ind w:left="99" w:right="380"/>
      </w:pPr>
      <w:r>
        <w:rPr>
          <w:color w:val="6E6158"/>
        </w:rPr>
        <w:t>that comprehensive client representation in this area requires both technical tax acumen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legal judgment, she pursued a legal education and transitioned her practice to trusts and</w:t>
      </w:r>
      <w:r>
        <w:rPr>
          <w:color w:val="6E6158"/>
          <w:spacing w:val="40"/>
        </w:rPr>
        <w:t> </w:t>
      </w:r>
      <w:r>
        <w:rPr>
          <w:color w:val="6E6158"/>
        </w:rPr>
        <w:t>estates law. This combined background enables her to integrate tax strategy seamlessly with</w:t>
      </w:r>
      <w:r>
        <w:rPr>
          <w:color w:val="6E6158"/>
          <w:spacing w:val="40"/>
        </w:rPr>
        <w:t> </w:t>
      </w:r>
      <w:r>
        <w:rPr>
          <w:color w:val="6E6158"/>
        </w:rPr>
        <w:t>dispositive planning and fiduciary administration.</w:t>
      </w:r>
    </w:p>
    <w:p>
      <w:pPr>
        <w:pStyle w:val="BodyText"/>
        <w:spacing w:line="292" w:lineRule="auto" w:before="206"/>
        <w:ind w:left="99" w:right="173"/>
      </w:pPr>
      <w:r>
        <w:rPr>
          <w:color w:val="6E6158"/>
        </w:rPr>
        <w:t>An Arizona State Bar Board-Certified Specialist in Estate and Trust Law and a Fellow of the</w:t>
      </w:r>
      <w:r>
        <w:rPr>
          <w:color w:val="6E6158"/>
          <w:spacing w:val="80"/>
        </w:rPr>
        <w:t> </w:t>
      </w:r>
      <w:r>
        <w:rPr>
          <w:color w:val="6E6158"/>
        </w:rPr>
        <w:t>American College of Trust and Estate Counsel (ACTEC), Deb is recognized for her depth of</w:t>
      </w:r>
      <w:r>
        <w:rPr>
          <w:color w:val="6E6158"/>
          <w:spacing w:val="40"/>
        </w:rPr>
        <w:t> </w:t>
      </w:r>
      <w:r>
        <w:rPr>
          <w:color w:val="6E6158"/>
        </w:rPr>
        <w:t>knowledge and professional excellence in the field. She is particularly skilled at designing </w:t>
      </w:r>
      <w:r>
        <w:rPr>
          <w:color w:val="6E6158"/>
        </w:rPr>
        <w:t>tailored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32"/>
        </w:rPr>
        <w:t> </w:t>
      </w:r>
      <w:r>
        <w:rPr>
          <w:color w:val="6E6158"/>
        </w:rPr>
        <w:t>plans</w:t>
      </w:r>
      <w:r>
        <w:rPr>
          <w:color w:val="6E6158"/>
          <w:spacing w:val="32"/>
        </w:rPr>
        <w:t> </w:t>
      </w:r>
      <w:r>
        <w:rPr>
          <w:color w:val="6E6158"/>
        </w:rPr>
        <w:t>that</w:t>
      </w:r>
      <w:r>
        <w:rPr>
          <w:color w:val="6E6158"/>
          <w:spacing w:val="32"/>
        </w:rPr>
        <w:t> </w:t>
      </w:r>
      <w:r>
        <w:rPr>
          <w:color w:val="6E6158"/>
        </w:rPr>
        <w:t>reflect</w:t>
      </w:r>
      <w:r>
        <w:rPr>
          <w:color w:val="6E6158"/>
          <w:spacing w:val="32"/>
        </w:rPr>
        <w:t> </w:t>
      </w:r>
      <w:r>
        <w:rPr>
          <w:color w:val="6E6158"/>
        </w:rPr>
        <w:t>each</w:t>
      </w:r>
      <w:r>
        <w:rPr>
          <w:color w:val="6E6158"/>
          <w:spacing w:val="32"/>
        </w:rPr>
        <w:t> </w:t>
      </w:r>
      <w:r>
        <w:rPr>
          <w:color w:val="6E6158"/>
        </w:rPr>
        <w:t>client’s</w:t>
      </w:r>
      <w:r>
        <w:rPr>
          <w:color w:val="6E6158"/>
          <w:spacing w:val="32"/>
        </w:rPr>
        <w:t> </w:t>
      </w:r>
      <w:r>
        <w:rPr>
          <w:color w:val="6E6158"/>
        </w:rPr>
        <w:t>objectives,</w:t>
      </w:r>
      <w:r>
        <w:rPr>
          <w:color w:val="6E6158"/>
          <w:spacing w:val="32"/>
        </w:rPr>
        <w:t> </w:t>
      </w:r>
      <w:r>
        <w:rPr>
          <w:color w:val="6E6158"/>
        </w:rPr>
        <w:t>family</w:t>
      </w:r>
      <w:r>
        <w:rPr>
          <w:color w:val="6E6158"/>
          <w:spacing w:val="32"/>
        </w:rPr>
        <w:t> </w:t>
      </w:r>
      <w:r>
        <w:rPr>
          <w:color w:val="6E6158"/>
        </w:rPr>
        <w:t>dynamics,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tax</w:t>
      </w:r>
      <w:r>
        <w:rPr>
          <w:color w:val="6E6158"/>
          <w:spacing w:val="32"/>
        </w:rPr>
        <w:t> </w:t>
      </w:r>
      <w:r>
        <w:rPr>
          <w:color w:val="6E6158"/>
        </w:rPr>
        <w:t>considerations.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approach emphasizes precision, foresight, and practical implementation—ensuring that </w:t>
      </w:r>
      <w:r>
        <w:rPr>
          <w:color w:val="6E6158"/>
        </w:rPr>
        <w:t>plans</w:t>
      </w:r>
      <w:r>
        <w:rPr>
          <w:color w:val="6E6158"/>
          <w:spacing w:val="40"/>
        </w:rPr>
        <w:t> </w:t>
      </w:r>
      <w:r>
        <w:rPr>
          <w:color w:val="6E6158"/>
        </w:rPr>
        <w:t>operate as intended both during life and after death.</w:t>
      </w:r>
    </w:p>
    <w:p>
      <w:pPr>
        <w:pStyle w:val="BodyText"/>
        <w:spacing w:before="5"/>
        <w:rPr>
          <w:sz w:val="12"/>
        </w:rPr>
      </w:pPr>
      <w:r>
        <w:rPr>
          <w:sz w:val="12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977669</wp:posOffset>
            </wp:positionH>
            <wp:positionV relativeFrom="paragraph">
              <wp:posOffset>112175</wp:posOffset>
            </wp:positionV>
            <wp:extent cx="771525" cy="1543050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92" w:lineRule="auto" w:before="40"/>
        <w:ind w:left="99" w:right="316"/>
      </w:pPr>
      <w:r>
        <w:rPr>
          <w:color w:val="6E6158"/>
        </w:rPr>
        <w:t>Originally from Sioux City, Iowa, Deb balances her practice with an active family life as the</w:t>
      </w:r>
      <w:r>
        <w:rPr>
          <w:color w:val="6E6158"/>
          <w:spacing w:val="40"/>
        </w:rPr>
        <w:t> </w:t>
      </w:r>
      <w:r>
        <w:rPr>
          <w:color w:val="6E6158"/>
        </w:rPr>
        <w:t>mother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three</w:t>
      </w:r>
      <w:r>
        <w:rPr>
          <w:color w:val="6E6158"/>
          <w:spacing w:val="14"/>
        </w:rPr>
        <w:t> </w:t>
      </w:r>
      <w:r>
        <w:rPr>
          <w:color w:val="6E6158"/>
        </w:rPr>
        <w:t>teenagers,</w:t>
      </w:r>
      <w:r>
        <w:rPr>
          <w:color w:val="6E6158"/>
          <w:spacing w:val="14"/>
        </w:rPr>
        <w:t> </w:t>
      </w:r>
      <w:r>
        <w:rPr>
          <w:color w:val="6E6158"/>
        </w:rPr>
        <w:t>including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daughter</w:t>
      </w:r>
      <w:r>
        <w:rPr>
          <w:color w:val="6E6158"/>
          <w:spacing w:val="14"/>
        </w:rPr>
        <w:t> </w:t>
      </w:r>
      <w:r>
        <w:rPr>
          <w:color w:val="6E6158"/>
        </w:rPr>
        <w:t>who</w:t>
      </w:r>
      <w:r>
        <w:rPr>
          <w:color w:val="6E6158"/>
          <w:spacing w:val="14"/>
        </w:rPr>
        <w:t> </w:t>
      </w:r>
      <w:r>
        <w:rPr>
          <w:color w:val="6E6158"/>
        </w:rPr>
        <w:t>competes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travel</w:t>
      </w:r>
      <w:r>
        <w:rPr>
          <w:color w:val="6E6158"/>
          <w:spacing w:val="14"/>
        </w:rPr>
        <w:t> </w:t>
      </w:r>
      <w:r>
        <w:rPr>
          <w:color w:val="6E6158"/>
        </w:rPr>
        <w:t>ice</w:t>
      </w:r>
      <w:r>
        <w:rPr>
          <w:color w:val="6E6158"/>
          <w:spacing w:val="14"/>
        </w:rPr>
        <w:t> </w:t>
      </w:r>
      <w:r>
        <w:rPr>
          <w:color w:val="6E6158"/>
        </w:rPr>
        <w:t>hockey</w:t>
      </w:r>
      <w:r>
        <w:rPr>
          <w:color w:val="6E6158"/>
          <w:spacing w:val="14"/>
        </w:rPr>
        <w:t> </w:t>
      </w:r>
      <w:r>
        <w:rPr>
          <w:color w:val="6E6158"/>
        </w:rPr>
        <w:t>team.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7"/>
        <w:ind w:left="351" w:right="2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157851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9233pt;width:1.65pt;height:1.65pt;mso-position-horizontal-relative:page;mso-position-vertical-relative:paragraph;z-index:15729664" id="docshape14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416216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2980pt;width:1.65pt;height:1.65pt;mso-position-horizontal-relative:page;mso-position-vertical-relative:paragraph;z-index:15730176" id="docshape15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35"/>
        </w:rPr>
        <w:t> </w:t>
      </w:r>
      <w:r>
        <w:rPr>
          <w:color w:val="6E6158"/>
        </w:rPr>
        <w:t>Arizona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University</w:t>
      </w:r>
      <w:r>
        <w:rPr>
          <w:color w:val="6E6158"/>
          <w:spacing w:val="35"/>
        </w:rPr>
        <w:t> </w:t>
      </w:r>
      <w:r>
        <w:rPr>
          <w:color w:val="6E6158"/>
        </w:rPr>
        <w:t>Sandra</w:t>
      </w:r>
      <w:r>
        <w:rPr>
          <w:color w:val="6E6158"/>
          <w:spacing w:val="35"/>
        </w:rPr>
        <w:t> </w:t>
      </w:r>
      <w:r>
        <w:rPr>
          <w:color w:val="6E6158"/>
        </w:rPr>
        <w:t>Day</w:t>
      </w:r>
      <w:r>
        <w:rPr>
          <w:color w:val="6E6158"/>
          <w:spacing w:val="35"/>
        </w:rPr>
        <w:t> </w:t>
      </w:r>
      <w:r>
        <w:rPr>
          <w:color w:val="6E6158"/>
        </w:rPr>
        <w:t>O’Connor</w:t>
      </w:r>
      <w:r>
        <w:rPr>
          <w:color w:val="6E6158"/>
          <w:spacing w:val="35"/>
        </w:rPr>
        <w:t> </w:t>
      </w:r>
      <w:r>
        <w:rPr>
          <w:color w:val="6E6158"/>
        </w:rPr>
        <w:t>School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Law Master of Taxation, Arizona State University W.P. Carey School of </w:t>
      </w:r>
      <w:r>
        <w:rPr>
          <w:color w:val="6E6158"/>
        </w:rPr>
        <w:t>Business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63496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9763pt;width:1.65pt;height:1.65pt;mso-position-horizontal-relative:page;mso-position-vertical-relative:paragraph;z-index:15730688" id="docshape1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Accountancy,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W.P.</w:t>
      </w:r>
      <w:r>
        <w:rPr>
          <w:color w:val="6E6158"/>
          <w:spacing w:val="9"/>
        </w:rPr>
        <w:t> </w:t>
      </w:r>
      <w:r>
        <w:rPr>
          <w:color w:val="6E6158"/>
        </w:rPr>
        <w:t>Carey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Business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71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157932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649pt;width:1.65pt;height:1.65pt;mso-position-horizontal-relative:page;mso-position-vertical-relative:paragraph;z-index:15731200" id="docshape17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416298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94pt;width:1.65pt;height:1.65pt;mso-position-horizontal-relative:page;mso-position-vertical-relative:paragraph;z-index:15731712" id="docshape18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152425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2027pt;width:1.65pt;height:1.65pt;mso-position-horizontal-relative:page;mso-position-vertical-relative:paragraph;z-index:15732224" id="docshape19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Super</w:t>
      </w:r>
      <w:r>
        <w:rPr>
          <w:color w:val="6E6158"/>
          <w:spacing w:val="15"/>
        </w:rPr>
        <w:t> </w:t>
      </w:r>
      <w:r>
        <w:rPr>
          <w:color w:val="6E6158"/>
        </w:rPr>
        <w:t>Lawyers</w:t>
      </w:r>
      <w:r>
        <w:rPr>
          <w:color w:val="6E6158"/>
          <w:spacing w:val="15"/>
        </w:rPr>
        <w:t> </w:t>
      </w:r>
      <w:r>
        <w:rPr>
          <w:color w:val="6E6158"/>
        </w:rPr>
        <w:t>Southwest</w:t>
      </w:r>
      <w:r>
        <w:rPr>
          <w:color w:val="6E6158"/>
          <w:spacing w:val="16"/>
        </w:rPr>
        <w:t> </w:t>
      </w:r>
      <w:r>
        <w:rPr>
          <w:color w:val="6E6158"/>
        </w:rPr>
        <w:t>Rising</w:t>
      </w:r>
      <w:r>
        <w:rPr>
          <w:color w:val="6E6158"/>
          <w:spacing w:val="15"/>
        </w:rPr>
        <w:t> </w:t>
      </w:r>
      <w:r>
        <w:rPr>
          <w:color w:val="6E6158"/>
        </w:rPr>
        <w:t>Stars</w:t>
      </w:r>
      <w:r>
        <w:rPr>
          <w:color w:val="6E6158"/>
          <w:spacing w:val="15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2015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7" w:lineRule="auto" w:before="147"/>
        <w:ind w:left="351" w:right="2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338816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7849pt;width:1.65pt;height:1.65pt;mso-position-horizontal-relative:page;mso-position-vertical-relative:paragraph;z-index:15732736" id="docshape20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u w:val="single" w:color="6E6158"/>
        </w:rPr>
        <w:t>Organizations</w:t>
      </w:r>
      <w:r>
        <w:rPr>
          <w:color w:val="6E6158"/>
          <w:u w:val="none"/>
        </w:rPr>
        <w:t>: State Bar of Arizona, Arizona ACTEC Meeting, National Business Institute, Valley Estate Planners, East Valley Estate Planning Council, Arizona Community Foundation, </w:t>
      </w:r>
      <w:r>
        <w:rPr>
          <w:color w:val="6E6158"/>
          <w:u w:val="none"/>
        </w:rPr>
        <w:t>Planned Giving Roundtable, Catholic Community Foundation, Central Phoenix Women</w:t>
      </w:r>
    </w:p>
    <w:p>
      <w:pPr>
        <w:pStyle w:val="BodyText"/>
        <w:spacing w:line="295" w:lineRule="auto" w:before="118"/>
        <w:ind w:left="351" w:righ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408277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147865pt;width:1.65pt;height:1.65pt;mso-position-horizontal-relative:page;mso-position-vertical-relative:paragraph;z-index:15733248" id="docshape21" coordorigin="1670,643" coordsize="33,33" path="m1691,676l1682,676,1678,674,1671,668,1670,664,1670,655,1671,651,1678,645,1682,643,1691,643,1694,645,1701,651,1702,655,1702,659,1702,664,1701,668,1694,674,1691,67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u w:val="single" w:color="6E6158"/>
        </w:rPr>
        <w:t>Topics</w:t>
      </w:r>
      <w:r>
        <w:rPr>
          <w:color w:val="6E6158"/>
          <w:u w:val="none"/>
        </w:rPr>
        <w:t>: Advanced Generation-Skipping Transfer Tax and Marital Deduction Issues, Income Tax Planning for Trusts and Estates, Probate Process, Generation-Skipping Transfer Tax Issues in Gift Tax Returns, Other Various Generation-Skipping Transfer Tax Issues (War Stories, General, and Current Status), Tips for Effective Estate Planning</w:t>
      </w:r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157504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1958pt;width:1.65pt;height:1.65pt;mso-position-horizontal-relative:page;mso-position-vertical-relative:paragraph;z-index:15733760" id="docshape22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Fellow,</w:t>
      </w:r>
      <w:r>
        <w:rPr>
          <w:color w:val="6E6158"/>
          <w:spacing w:val="10"/>
        </w:rPr>
        <w:t> </w:t>
      </w: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Trust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Counsel</w:t>
      </w:r>
    </w:p>
    <w:p>
      <w:pPr>
        <w:pStyle w:val="BodyText"/>
        <w:spacing w:line="302" w:lineRule="auto" w:before="174"/>
        <w:ind w:left="351" w:righ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268246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174pt;width:1.65pt;height:1.65pt;mso-position-horizontal-relative:page;mso-position-vertical-relative:paragraph;z-index:15734272" id="docshape2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Chair, Secretary and Board Member of the Estate Planning, Probate, and Trust Section of the</w:t>
      </w:r>
      <w:r>
        <w:rPr>
          <w:color w:val="6E6158"/>
          <w:spacing w:val="26"/>
        </w:rPr>
        <w:t> </w:t>
      </w:r>
      <w:r>
        <w:rPr>
          <w:color w:val="6E6158"/>
        </w:rPr>
        <w:t>Maricopa</w:t>
      </w:r>
      <w:r>
        <w:rPr>
          <w:color w:val="6E6158"/>
          <w:spacing w:val="26"/>
        </w:rPr>
        <w:t> </w:t>
      </w:r>
      <w:r>
        <w:rPr>
          <w:color w:val="6E6158"/>
        </w:rPr>
        <w:t>County</w:t>
      </w:r>
      <w:r>
        <w:rPr>
          <w:color w:val="6E6158"/>
          <w:spacing w:val="26"/>
        </w:rPr>
        <w:t> </w:t>
      </w:r>
      <w:r>
        <w:rPr>
          <w:color w:val="6E6158"/>
        </w:rPr>
        <w:t>Bar</w:t>
      </w:r>
      <w:r>
        <w:rPr>
          <w:color w:val="6E6158"/>
          <w:spacing w:val="26"/>
        </w:rPr>
        <w:t> </w:t>
      </w:r>
      <w:r>
        <w:rPr>
          <w:color w:val="6E6158"/>
        </w:rPr>
        <w:t>Association;</w:t>
      </w:r>
      <w:r>
        <w:rPr>
          <w:color w:val="6E6158"/>
          <w:spacing w:val="26"/>
        </w:rPr>
        <w:t> </w:t>
      </w:r>
      <w:r>
        <w:rPr>
          <w:color w:val="6E6158"/>
        </w:rPr>
        <w:t>Probate</w:t>
      </w:r>
      <w:r>
        <w:rPr>
          <w:color w:val="6E6158"/>
          <w:spacing w:val="26"/>
        </w:rPr>
        <w:t> </w:t>
      </w:r>
      <w:r>
        <w:rPr>
          <w:color w:val="6E6158"/>
        </w:rPr>
        <w:t>&amp;</w:t>
      </w:r>
      <w:r>
        <w:rPr>
          <w:color w:val="6E6158"/>
          <w:spacing w:val="26"/>
        </w:rPr>
        <w:t> </w:t>
      </w:r>
      <w:r>
        <w:rPr>
          <w:color w:val="6E6158"/>
        </w:rPr>
        <w:t>Trust</w:t>
      </w:r>
      <w:r>
        <w:rPr>
          <w:color w:val="6E6158"/>
          <w:spacing w:val="26"/>
        </w:rPr>
        <w:t> </w:t>
      </w:r>
      <w:r>
        <w:rPr>
          <w:color w:val="6E6158"/>
        </w:rPr>
        <w:t>Section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State</w:t>
      </w:r>
      <w:r>
        <w:rPr>
          <w:color w:val="6E6158"/>
          <w:spacing w:val="26"/>
        </w:rPr>
        <w:t> </w:t>
      </w:r>
      <w:r>
        <w:rPr>
          <w:color w:val="6E6158"/>
        </w:rPr>
        <w:t>Bar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Arizona</w:t>
      </w:r>
    </w:p>
    <w:p>
      <w:pPr>
        <w:pStyle w:val="BodyText"/>
        <w:spacing w:line="420" w:lineRule="auto" w:before="113"/>
        <w:ind w:left="351" w:right="21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131193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30210pt;width:1.65pt;height:1.65pt;mso-position-horizontal-relative:page;mso-position-vertical-relative:paragraph;z-index:15734784" id="docshape24" coordorigin="1670,207" coordsize="33,33" path="m1691,239l1682,239,1678,238,1671,231,1670,227,1670,218,1671,215,1678,208,1682,207,1691,207,1694,208,1701,215,1702,218,1702,223,1702,227,1701,231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394726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80824pt;width:1.65pt;height:1.65pt;mso-position-horizontal-relative:page;mso-position-vertical-relative:paragraph;z-index:15735296" id="docshape25" coordorigin="1670,622" coordsize="33,33" path="m1691,654l1682,654,1678,653,1671,646,1670,642,1670,633,1671,630,1678,623,1682,622,1691,622,1694,623,1701,630,1702,633,1702,638,1702,642,1701,646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40"/>
        </w:rPr>
        <w:t> </w:t>
      </w:r>
      <w:r>
        <w:rPr>
          <w:color w:val="6E6158"/>
        </w:rPr>
        <w:t>LexisNexis</w:t>
      </w:r>
      <w:r>
        <w:rPr>
          <w:color w:val="6E6158"/>
          <w:spacing w:val="40"/>
        </w:rPr>
        <w:t> </w:t>
      </w:r>
      <w:r>
        <w:rPr>
          <w:color w:val="6E6158"/>
        </w:rPr>
        <w:t>Practical</w:t>
      </w:r>
      <w:r>
        <w:rPr>
          <w:color w:val="6E6158"/>
          <w:spacing w:val="40"/>
        </w:rPr>
        <w:t> </w:t>
      </w:r>
      <w:r>
        <w:rPr>
          <w:color w:val="6E6158"/>
        </w:rPr>
        <w:t>Guidance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Planning</w:t>
      </w:r>
      <w:r>
        <w:rPr>
          <w:color w:val="6E6158"/>
          <w:spacing w:val="40"/>
        </w:rPr>
        <w:t> </w:t>
      </w:r>
      <w:r>
        <w:rPr>
          <w:color w:val="6E6158"/>
        </w:rPr>
        <w:t>Forms Member, Tax Section, American Institute of Certified Public </w:t>
      </w:r>
      <w:r>
        <w:rPr>
          <w:color w:val="6E6158"/>
        </w:rPr>
        <w:t>Accountants</w:t>
      </w:r>
    </w:p>
    <w:p>
      <w:pPr>
        <w:pStyle w:val="BodyText"/>
        <w:spacing w:line="302" w:lineRule="auto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156608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31367pt;width:1.65pt;height:1.65pt;mso-position-horizontal-relative:page;mso-position-vertical-relative:paragraph;z-index:15735808" id="docshape26" coordorigin="1670,247" coordsize="33,33" path="m1691,279l1682,279,1678,278,1671,271,1670,267,1670,258,1671,255,1678,248,1682,247,1691,247,1694,248,1701,255,1702,258,1702,263,1702,267,1701,271,1694,278,1691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Tax &amp; Legal Seminar Committee, Arizona Community Foundation / Center for Jewish </w:t>
      </w:r>
      <w:r>
        <w:rPr>
          <w:color w:val="6E6158"/>
          <w:spacing w:val="-2"/>
        </w:rPr>
        <w:t>Philanthropy</w:t>
      </w:r>
    </w:p>
    <w:p>
      <w:pPr>
        <w:pStyle w:val="BodyText"/>
        <w:spacing w:before="11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130044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239717pt;width:1.65pt;height:1.65pt;mso-position-horizontal-relative:page;mso-position-vertical-relative:paragraph;z-index:15736320" id="docshape27" coordorigin="1670,205" coordsize="33,33" path="m1691,237l1682,237,1678,236,1671,229,1670,226,1670,217,1671,213,1678,206,1682,205,1691,205,1694,206,1701,213,1702,217,1702,221,1702,226,1701,229,1694,236,1691,2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Valley</w:t>
      </w:r>
      <w:r>
        <w:rPr>
          <w:color w:val="6E6158"/>
          <w:spacing w:val="9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Planners</w:t>
      </w:r>
      <w:r>
        <w:rPr>
          <w:color w:val="6E6158"/>
          <w:spacing w:val="10"/>
        </w:rPr>
        <w:t> </w:t>
      </w:r>
      <w:r>
        <w:rPr>
          <w:color w:val="6E6158"/>
        </w:rPr>
        <w:t>Past</w:t>
      </w:r>
      <w:r>
        <w:rPr>
          <w:color w:val="6E6158"/>
          <w:spacing w:val="9"/>
        </w:rPr>
        <w:t> </w:t>
      </w:r>
      <w:r>
        <w:rPr>
          <w:color w:val="6E6158"/>
        </w:rPr>
        <w:t>President</w:t>
      </w:r>
      <w:r>
        <w:rPr>
          <w:color w:val="6E6158"/>
          <w:spacing w:val="10"/>
        </w:rPr>
        <w:t> </w:t>
      </w:r>
      <w:r>
        <w:rPr>
          <w:color w:val="6E6158"/>
        </w:rPr>
        <w:t>(2011)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prior</w:t>
      </w:r>
      <w:r>
        <w:rPr>
          <w:color w:val="6E6158"/>
          <w:spacing w:val="9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Member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left="351" w:right="1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6832" id="docshape2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7344" id="docshape2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 Vice President, Treasurer, and Board Member for the Copper State Skating Club Presenter, Financial Series, Fresh Start Foundation for Women</w:t>
      </w:r>
    </w:p>
    <w:p>
      <w:pPr>
        <w:pStyle w:val="BodyText"/>
        <w:spacing w:line="420" w:lineRule="auto" w:before="7"/>
        <w:ind w:left="351" w:right="5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63887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43pt;width:1.65pt;height:1.65pt;mso-position-horizontal-relative:page;mso-position-vertical-relative:paragraph;z-index:15737856" id="docshape30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322253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4294pt;width:1.65pt;height:1.65pt;mso-position-horizontal-relative:page;mso-position-vertical-relative:paragraph;z-index:15738368" id="docshape3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Habitat for Humanity Volunteer, Fennemore </w:t>
      </w:r>
      <w:r>
        <w:rPr>
          <w:color w:val="6E6158"/>
        </w:rPr>
        <w:t>Foundation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63600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7927pt;width:1.65pt;height:1.65pt;mso-position-horizontal-relative:page;mso-position-vertical-relative:paragraph;z-index:15738880" id="docshape32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Regular</w:t>
      </w:r>
      <w:r>
        <w:rPr>
          <w:color w:val="6E6158"/>
          <w:spacing w:val="10"/>
        </w:rPr>
        <w:t> </w:t>
      </w:r>
      <w:r>
        <w:rPr>
          <w:color w:val="6E6158"/>
        </w:rPr>
        <w:t>Volunteer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her</w:t>
      </w:r>
      <w:r>
        <w:rPr>
          <w:color w:val="6E6158"/>
          <w:spacing w:val="10"/>
        </w:rPr>
        <w:t> </w:t>
      </w:r>
      <w:r>
        <w:rPr>
          <w:color w:val="6E6158"/>
        </w:rPr>
        <w:t>children’s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(Great</w:t>
      </w:r>
      <w:r>
        <w:rPr>
          <w:color w:val="6E6158"/>
          <w:spacing w:val="11"/>
        </w:rPr>
        <w:t> </w:t>
      </w:r>
      <w:r>
        <w:rPr>
          <w:color w:val="6E6158"/>
        </w:rPr>
        <w:t>Hearts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Academies)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left="351" w:right="76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157813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225pt;width:1.65pt;height:1.65pt;mso-position-horizontal-relative:page;mso-position-vertical-relative:paragraph;z-index:15739392" id="docshape33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416178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974pt;width:1.65pt;height:1.65pt;mso-position-horizontal-relative:page;mso-position-vertical-relative:paragraph;z-index:15739904" id="docshape3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https://www.fennemorelaw.com/contact-us/las-vegas/" TargetMode="External"/><Relationship Id="rId11" Type="http://schemas.openxmlformats.org/officeDocument/2006/relationships/hyperlink" Target="mailto:dpolly@fennemorelaw.com" TargetMode="External"/><Relationship Id="rId12" Type="http://schemas.openxmlformats.org/officeDocument/2006/relationships/hyperlink" Target="https://www.fennemorelaw.com/contact-us/reno/" TargetMode="External"/><Relationship Id="rId1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Debra J. Polly - Fennemore</dc:title>
  <dcterms:created xsi:type="dcterms:W3CDTF">2026-03-06T17:14:31Z</dcterms:created>
  <dcterms:modified xsi:type="dcterms:W3CDTF">2026-03-06T17:14:31Z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Mozilla/5.0 (X11; Linux x86_64) AppleWebKit/537.36 (KHTML, like Gecko) Chrome/145.0.0.0 Safari/537.36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m142</vt:lpwstr>
  </property>
</Properties>
</file>