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on Rez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06774" y="1369338"/>
                            <a:ext cx="18916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320675">
                                <a:moveTo>
                                  <a:pt x="189123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91233" y="320382"/>
                                </a:lnTo>
                                <a:lnTo>
                                  <a:pt x="1891233" y="315214"/>
                                </a:lnTo>
                                <a:close/>
                              </a:path>
                              <a:path w="1891664" h="320675">
                                <a:moveTo>
                                  <a:pt x="1891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91233" y="5168"/>
                                </a:lnTo>
                                <a:lnTo>
                                  <a:pt x="1891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08075" y="763308"/>
                            <a:ext cx="19043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DONALD G.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REZ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916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385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06246" y="2226505"/>
                            <a:ext cx="13074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70450" y="3482163"/>
                            <a:ext cx="25469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justice,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goodness,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God.</w:t>
                              </w:r>
                            </w:p>
                            <w:p>
                              <w:pPr>
                                <w:spacing w:before="8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Micah 6:8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1664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DONALD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G.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5"/>
                                  <w:sz w:val="24"/>
                                </w:rPr>
                                <w:t>REZ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Don Rez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16;top:-5016;width:2979;height:505" id="docshape6" coordorigin="7016,-5016" coordsize="2979,505" path="m9994,-4520l7016,-4520,7016,-4511,9994,-4511,9994,-4520xm9994,-5016l7016,-5016,7016,-5008,9994,-5008,999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18;top:-5971;width:2999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DONALD G.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REZ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244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7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619.595.3239</w:t>
                        </w:r>
                      </w:p>
                    </w:txbxContent>
                  </v:textbox>
                  <w10:wrap type="none"/>
                </v:shape>
                <v:shape style="position:absolute;left:8728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487;top:-3667;width:2059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124;top:-1689;width:401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justice,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goodness,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walk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God.</w:t>
                        </w:r>
                      </w:p>
                      <w:p>
                        <w:pPr>
                          <w:spacing w:before="8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Micah 6:8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37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DONALD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G.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5"/>
                            <w:sz w:val="24"/>
                          </w:rPr>
                          <w:t>REZ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Donald G. Rez focuses on business and commercial litigation, antitrust, and trade </w:t>
      </w:r>
      <w:r>
        <w:rPr>
          <w:color w:val="6E6158"/>
        </w:rPr>
        <w:t>regulation,</w:t>
      </w:r>
      <w:r>
        <w:rPr>
          <w:color w:val="6E6158"/>
          <w:spacing w:val="40"/>
        </w:rPr>
        <w:t> </w:t>
      </w:r>
      <w:r>
        <w:rPr>
          <w:color w:val="6E6158"/>
        </w:rPr>
        <w:t>demonstrating</w:t>
      </w:r>
      <w:r>
        <w:rPr>
          <w:color w:val="6E6158"/>
          <w:spacing w:val="40"/>
        </w:rPr>
        <w:t>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commitment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communication. His practice covers various commercial lawsuits, including antitrust,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franchisor/franchisee issues, lender liability, professional malpractice, and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 including cases with the bankruptcy court. He adeptly handles complex multi-district</w:t>
      </w:r>
      <w:r>
        <w:rPr>
          <w:color w:val="6E6158"/>
          <w:spacing w:val="40"/>
        </w:rPr>
        <w:t> </w:t>
      </w:r>
      <w:r>
        <w:rPr>
          <w:color w:val="6E6158"/>
        </w:rPr>
        <w:t>litigation and a broad spectrum of antitrust claims.</w:t>
      </w:r>
    </w:p>
    <w:p>
      <w:pPr>
        <w:pStyle w:val="BodyText"/>
        <w:spacing w:line="295" w:lineRule="auto" w:before="187"/>
        <w:ind w:left="99" w:right="354"/>
      </w:pPr>
      <w:r>
        <w:rPr>
          <w:color w:val="6E6158"/>
        </w:rPr>
        <w:t>Representing diverse clients, from sports teams like the Former San Diego Clippers to major</w:t>
      </w:r>
      <w:r>
        <w:rPr>
          <w:color w:val="6E6158"/>
          <w:spacing w:val="40"/>
        </w:rPr>
        <w:t> </w:t>
      </w:r>
      <w:r>
        <w:rPr>
          <w:color w:val="6E6158"/>
        </w:rPr>
        <w:t>corporations such as Exxon to local companies such as Blue Tech, Inc. and court-ordered</w:t>
      </w:r>
      <w:r>
        <w:rPr>
          <w:color w:val="6E6158"/>
          <w:spacing w:val="80"/>
        </w:rPr>
        <w:t> </w:t>
      </w:r>
      <w:r>
        <w:rPr>
          <w:color w:val="6E6158"/>
        </w:rPr>
        <w:t>receiver and trustees. Donald’s representation was notably commended by a U.S. District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Judge in the approval of a significant antitrust class action settlement, (“The quality of</w:t>
      </w:r>
      <w:r>
        <w:rPr>
          <w:color w:val="6E6158"/>
          <w:spacing w:val="40"/>
        </w:rPr>
        <w:t> </w:t>
      </w:r>
      <w:r>
        <w:rPr>
          <w:color w:val="6E6158"/>
        </w:rPr>
        <w:t>representation in this matter was exceptional”) showcasing his skill in delivering results and</w:t>
      </w:r>
      <w:r>
        <w:rPr>
          <w:color w:val="6E6158"/>
          <w:spacing w:val="40"/>
        </w:rPr>
        <w:t> </w:t>
      </w:r>
      <w:r>
        <w:rPr>
          <w:color w:val="6E6158"/>
        </w:rPr>
        <w:t>maintaining strong and professional client relationships.</w:t>
      </w:r>
    </w:p>
    <w:p>
      <w:pPr>
        <w:pStyle w:val="Heading1"/>
        <w:spacing w:before="167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152729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591pt;width:1.65pt;height:1.65pt;mso-position-horizontal-relative:page;mso-position-vertical-relative:paragraph;z-index:15729152" id="docshape16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Harvard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173555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5784pt;width:1.65pt;height:1.65pt;mso-position-horizontal-relative:page;mso-position-vertical-relative:paragraph;z-index:15729664" id="docshape1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Texas,</w:t>
      </w:r>
      <w:r>
        <w:rPr>
          <w:color w:val="6E6158"/>
          <w:spacing w:val="10"/>
        </w:rPr>
        <w:t> </w:t>
      </w:r>
      <w:r>
        <w:rPr>
          <w:color w:val="6E6158"/>
        </w:rPr>
        <w:t>Highest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left="351" w:right="6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158049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807pt;width:1.65pt;height:1.65pt;mso-position-horizontal-relative:page;mso-position-vertical-relative:paragraph;z-index:15730176" id="docshape18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551pt;width:1.65pt;height:1.65pt;mso-position-horizontal-relative:page;mso-position-vertical-relative:paragraph;z-index:15730688" id="docshape1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</w:t>
      </w:r>
      <w:r>
        <w:rPr>
          <w:color w:val="6E6158"/>
        </w:rPr>
        <w:t>Liability</w:t>
      </w:r>
    </w:p>
    <w:p>
      <w:pPr>
        <w:pStyle w:val="Heading1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157723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211pt;width:1.65pt;height:1.65pt;mso-position-horizontal-relative:page;mso-position-vertical-relative:paragraph;z-index:15731200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0"/>
        </w:rPr>
        <w:t> </w:t>
      </w:r>
      <w:r>
        <w:rPr>
          <w:color w:val="6E6158"/>
        </w:rPr>
        <w:t>Preeminent™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Martindale-Hubbell,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30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405" w:lineRule="auto" w:before="96"/>
        <w:ind w:left="351" w:right="335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140636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73778pt;width:1.65pt;height:1.65pt;mso-position-horizontal-relative:page;mso-position-vertical-relative:paragraph;z-index:15731712" id="docshape21" coordorigin="1670,221" coordsize="33,33" path="m1691,254l1682,254,1678,252,1671,246,1670,242,1670,233,1671,229,1678,223,1682,221,1691,221,1694,223,1701,229,1702,233,1702,238,1702,242,1701,246,1694,252,1691,2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419671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045013pt;width:1.65pt;height:1.65pt;mso-position-horizontal-relative:page;mso-position-vertical-relative:paragraph;z-index:15732224" id="docshape22" coordorigin="1670,661" coordsize="33,33" path="m1691,693l1682,693,1678,692,1671,686,1670,682,1670,673,1671,669,1678,662,1682,661,1691,661,1694,662,1701,669,1702,673,1702,677,1702,682,1701,686,1694,692,1691,6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698706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016247pt;width:1.65pt;height:1.65pt;mso-position-horizontal-relative:page;mso-position-vertical-relative:paragraph;z-index:15732736" id="docshape23" coordorigin="1670,1100" coordsize="33,33" path="m1691,1133l1682,1133,1678,1131,1671,1125,1670,1121,1670,1112,1671,1108,1678,1102,1682,1100,1691,1100,1694,1102,1701,1108,1702,1112,1702,1117,1702,1121,1701,1125,1694,1131,1691,1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967407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6.173805pt;width:1.65pt;height:1.65pt;mso-position-horizontal-relative:page;mso-position-vertical-relative:paragraph;z-index:15733248" id="docshape24" coordorigin="1670,1523" coordsize="33,33" path="m1691,1556l1682,1556,1678,1554,1671,1548,1670,1544,1670,1535,1671,1531,1678,1525,1682,1523,1691,1523,1694,1525,1701,1531,1702,1535,1702,1540,1702,1544,1701,1548,1694,1554,1691,15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Commercial Litigation, 2018-2026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Business/Corporate, 2008-2010, 2014-2026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50 San Diego Super Lawyers, 2019-</w:t>
      </w:r>
      <w:r>
        <w:rPr>
          <w:color w:val="6E6158"/>
          <w:sz w:val="19"/>
        </w:rPr>
        <w:t>2020 Top 1% of The American Registry, “Best of the Best.”</w:t>
      </w:r>
    </w:p>
    <w:p>
      <w:pPr>
        <w:pStyle w:val="BodyText"/>
        <w:spacing w:before="1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73824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812987pt;width:1.65pt;height:1.65pt;mso-position-horizontal-relative:page;mso-position-vertical-relative:paragraph;z-index:15733760" id="docshape25" coordorigin="1670,116" coordsize="33,33" path="m1691,149l1682,149,1678,147,1671,141,1670,137,1670,128,1671,124,1678,118,1682,116,1691,116,1694,118,1701,124,1702,128,1702,133,1702,137,1701,141,1694,147,1691,1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Peer</w:t>
      </w:r>
      <w:r>
        <w:rPr>
          <w:color w:val="6E6158"/>
          <w:spacing w:val="14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achieving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highest</w:t>
      </w:r>
      <w:r>
        <w:rPr>
          <w:color w:val="6E6158"/>
          <w:spacing w:val="14"/>
        </w:rPr>
        <w:t> </w:t>
      </w:r>
      <w:r>
        <w:rPr>
          <w:color w:val="6E6158"/>
        </w:rPr>
        <w:t>level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excellence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302" w:lineRule="auto" w:before="147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251148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5484pt;width:1.65pt;height:1.65pt;mso-position-horizontal-relative:page;mso-position-vertical-relative:paragraph;z-index:15734272" id="docshape26" coordorigin="1670,396" coordsize="33,33" path="m1691,428l1682,428,1678,426,1671,420,1670,416,1670,407,1671,403,1678,397,1682,396,1691,396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California Pretrial Practice &amp; Forms</w:t>
        </w:r>
      </w:hyperlink>
      <w:r>
        <w:rPr>
          <w:color w:val="6E6158"/>
        </w:rPr>
        <w:t>, Kane &amp; Rez, James Publishing Company, 2003 updated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2004-2017</w:t>
      </w:r>
    </w:p>
    <w:p>
      <w:pPr>
        <w:pStyle w:val="BodyText"/>
        <w:spacing w:line="295" w:lineRule="auto" w:before="113"/>
        <w:ind w:left="351" w:right="3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405107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98264pt;width:1.65pt;height:1.65pt;mso-position-horizontal-relative:page;mso-position-vertical-relative:paragraph;z-index:15734784" id="docshape27" coordorigin="1670,638" coordsize="33,33" path="m1691,671l1682,671,1678,669,1671,663,1670,659,1670,650,1671,646,1678,640,1682,638,1691,638,1694,640,1701,646,1702,650,1702,654,1702,659,1701,663,1694,669,1691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</w:t>
      </w:r>
      <w:hyperlink r:id="rId12">
        <w:r>
          <w:rPr>
            <w:color w:val="F5821F"/>
          </w:rPr>
          <w:t>California’s Prohibition Against Non-Compete Agreements (B&amp;P Code § 16600),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the Protection of Trade Secrets and the Practical Relationship Between the Two,</w:t>
        </w:r>
      </w:hyperlink>
      <w:r>
        <w:rPr>
          <w:color w:val="6E6158"/>
        </w:rPr>
        <w:t>” Sullivan Hill</w:t>
      </w:r>
      <w:r>
        <w:rPr>
          <w:color w:val="6E6158"/>
          <w:spacing w:val="40"/>
        </w:rPr>
        <w:t> </w:t>
      </w:r>
      <w:r>
        <w:rPr>
          <w:color w:val="6E6158"/>
        </w:rPr>
        <w:t>Rez and Engel CLE Seminar (September 2022); Meritas Capability Webinar Series, San </w:t>
      </w:r>
      <w:r>
        <w:rPr>
          <w:color w:val="6E6158"/>
        </w:rPr>
        <w:t>Diego, April</w:t>
      </w:r>
      <w:r>
        <w:rPr>
          <w:color w:val="6E6158"/>
          <w:spacing w:val="30"/>
        </w:rPr>
        <w:t> </w:t>
      </w:r>
      <w:r>
        <w:rPr>
          <w:color w:val="6E6158"/>
        </w:rPr>
        <w:t>2015,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California</w:t>
      </w:r>
      <w:r>
        <w:rPr>
          <w:color w:val="6E6158"/>
          <w:spacing w:val="30"/>
        </w:rPr>
        <w:t> </w:t>
      </w:r>
      <w:r>
        <w:rPr>
          <w:color w:val="6E6158"/>
        </w:rPr>
        <w:t>Western</w:t>
      </w:r>
      <w:r>
        <w:rPr>
          <w:color w:val="6E6158"/>
          <w:spacing w:val="30"/>
        </w:rPr>
        <w:t> </w:t>
      </w:r>
      <w:r>
        <w:rPr>
          <w:color w:val="6E6158"/>
        </w:rPr>
        <w:t>School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Law,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Society,</w:t>
      </w:r>
      <w:r>
        <w:rPr>
          <w:color w:val="6E6158"/>
          <w:spacing w:val="30"/>
        </w:rPr>
        <w:t> </w:t>
      </w:r>
      <w:r>
        <w:rPr>
          <w:color w:val="6E6158"/>
        </w:rPr>
        <w:t>March</w:t>
      </w:r>
      <w:r>
        <w:rPr>
          <w:color w:val="6E6158"/>
          <w:spacing w:val="30"/>
        </w:rPr>
        <w:t> </w:t>
      </w:r>
      <w:r>
        <w:rPr>
          <w:color w:val="6E6158"/>
        </w:rPr>
        <w:t>2015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142958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568pt;width:1.65pt;height:1.65pt;mso-position-horizontal-relative:page;mso-position-vertical-relative:paragraph;z-index:15735296" id="docshape2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“eDiscovery</w:t>
      </w:r>
      <w:r>
        <w:rPr>
          <w:color w:val="6E6158"/>
          <w:spacing w:val="13"/>
        </w:rPr>
        <w:t> </w:t>
      </w:r>
      <w:r>
        <w:rPr>
          <w:color w:val="6E6158"/>
        </w:rPr>
        <w:t>Essentials,”</w:t>
      </w:r>
      <w:r>
        <w:rPr>
          <w:color w:val="6E6158"/>
          <w:spacing w:val="13"/>
        </w:rPr>
        <w:t> </w:t>
      </w:r>
      <w:r>
        <w:rPr>
          <w:color w:val="6E6158"/>
        </w:rPr>
        <w:t>Network</w:t>
      </w:r>
      <w:r>
        <w:rPr>
          <w:color w:val="6E6158"/>
          <w:spacing w:val="13"/>
        </w:rPr>
        <w:t> </w:t>
      </w:r>
      <w:r>
        <w:rPr>
          <w:color w:val="6E6158"/>
        </w:rPr>
        <w:t>Deposition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3"/>
        </w:rPr>
        <w:t> </w:t>
      </w:r>
      <w:r>
        <w:rPr>
          <w:color w:val="6E6158"/>
        </w:rPr>
        <w:t>Inc.,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Diego,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2014.</w:t>
      </w:r>
    </w:p>
    <w:p>
      <w:pPr>
        <w:pStyle w:val="BodyText"/>
        <w:spacing w:line="302" w:lineRule="auto" w:before="174"/>
        <w:ind w:left="351" w:right="3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268305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39pt;width:1.65pt;height:1.65pt;mso-position-horizontal-relative:page;mso-position-vertical-relative:paragraph;z-index:15735808" id="docshape29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 (with Judge Meyers), “Recent Developments in California Civil Procedure,” </w:t>
      </w:r>
      <w:r>
        <w:rPr>
          <w:color w:val="6E6158"/>
        </w:rPr>
        <w:t>San</w:t>
      </w:r>
      <w:r>
        <w:rPr>
          <w:color w:val="6E6158"/>
          <w:spacing w:val="40"/>
        </w:rPr>
        <w:t> </w:t>
      </w:r>
      <w:r>
        <w:rPr>
          <w:color w:val="6E6158"/>
        </w:rPr>
        <w:t>Diego County Bar Association (Civil Litigation Section), April 2014</w:t>
      </w:r>
    </w:p>
    <w:p>
      <w:pPr>
        <w:pStyle w:val="BodyText"/>
        <w:spacing w:line="292" w:lineRule="auto"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224262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489pt;width:1.65pt;height:1.65pt;mso-position-horizontal-relative:page;mso-position-vertical-relative:paragraph;z-index:15736320" id="docshape3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Webinar, “What Works Well in Mediation?” San Diego County Bar Association (Civil Litigation Section), November 2013</w:t>
      </w:r>
    </w:p>
    <w:p>
      <w:pPr>
        <w:pStyle w:val="BodyText"/>
        <w:spacing w:line="302" w:lineRule="auto" w:before="123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235957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367pt;width:1.65pt;height:1.65pt;mso-position-horizontal-relative:page;mso-position-vertical-relative:paragraph;z-index:15736832" id="docshape3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“Recent Developments in California Civil Procedure,” San Diego County </w:t>
      </w:r>
      <w:r>
        <w:rPr>
          <w:color w:val="6E6158"/>
        </w:rPr>
        <w:t>Bar Association Civil Litigation Section, March 2013</w:t>
      </w:r>
    </w:p>
    <w:p>
      <w:pPr>
        <w:pStyle w:val="BodyText"/>
        <w:spacing w:line="292" w:lineRule="auto" w:before="113"/>
        <w:ind w:left="351" w:right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224301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524pt;width:1.65pt;height:1.65pt;mso-position-horizontal-relative:page;mso-position-vertical-relative:paragraph;z-index:15737344" id="docshape3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“Everything You Need to Know: Motion for Summary Judgment,” San Diego County Bar Association (Civil Litigation Section), April 2012</w:t>
      </w:r>
    </w:p>
    <w:p>
      <w:pPr>
        <w:pStyle w:val="BodyText"/>
        <w:spacing w:line="302" w:lineRule="auto" w:before="123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235996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397pt;width:1.65pt;height:1.65pt;mso-position-horizontal-relative:page;mso-position-vertical-relative:paragraph;z-index:15737856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Art of the Deposition: Deposition Procedure,” Veritext San Diego, February </w:t>
      </w:r>
      <w:r>
        <w:rPr>
          <w:color w:val="6E6158"/>
          <w:spacing w:val="-2"/>
        </w:rPr>
        <w:t>2012.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136494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7595pt;width:1.65pt;height:1.65pt;mso-position-horizontal-relative:page;mso-position-vertical-relative:paragraph;z-index:15738368" id="docshape34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“E-Discovery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Mobile</w:t>
      </w:r>
      <w:r>
        <w:rPr>
          <w:color w:val="6E6158"/>
          <w:spacing w:val="9"/>
        </w:rPr>
        <w:t> </w:t>
      </w:r>
      <w:r>
        <w:rPr>
          <w:color w:val="6E6158"/>
        </w:rPr>
        <w:t>Age,”</w:t>
      </w:r>
      <w:r>
        <w:rPr>
          <w:color w:val="6E6158"/>
          <w:spacing w:val="9"/>
        </w:rPr>
        <w:t> </w:t>
      </w:r>
      <w:r>
        <w:rPr>
          <w:color w:val="6E6158"/>
        </w:rPr>
        <w:t>Veritext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Diego,</w:t>
      </w:r>
      <w:r>
        <w:rPr>
          <w:color w:val="6E6158"/>
          <w:spacing w:val="9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line="292" w:lineRule="auto" w:before="174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263024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552pt;width:1.65pt;height:1.65pt;mso-position-horizontal-relative:page;mso-position-vertical-relative:paragraph;z-index:15738880" id="docshape3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 in Southern California seminar series entitled “Foreclosure Prevention &amp; Debt </w:t>
      </w:r>
      <w:r>
        <w:rPr>
          <w:color w:val="6E6158"/>
        </w:rPr>
        <w:t>Relief</w:t>
      </w:r>
      <w:r>
        <w:rPr>
          <w:color w:val="6E6158"/>
          <w:spacing w:val="40"/>
        </w:rPr>
        <w:t> </w:t>
      </w:r>
      <w:r>
        <w:rPr>
          <w:color w:val="6E6158"/>
        </w:rPr>
        <w:t>for Lawyers”</w:t>
      </w:r>
    </w:p>
    <w:p>
      <w:pPr>
        <w:pStyle w:val="BodyText"/>
        <w:spacing w:line="292" w:lineRule="auto" w:before="131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235983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383pt;width:1.65pt;height:1.65pt;mso-position-horizontal-relative:page;mso-position-vertical-relative:paragraph;z-index:15739392" id="docshape3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Lecturer, “E-Discovery Under the New Federal Rules of Civil Procedure,” Meritas </w:t>
      </w:r>
      <w:r>
        <w:rPr>
          <w:color w:val="6E6158"/>
        </w:rPr>
        <w:t>Litigation Section Meeting, 2006</w:t>
      </w:r>
    </w:p>
    <w:p>
      <w:pPr>
        <w:pStyle w:val="BodyText"/>
        <w:spacing w:line="422" w:lineRule="auto" w:before="124"/>
        <w:ind w:left="351" w:right="9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143237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8542pt;width:1.65pt;height:1.65pt;mso-position-horizontal-relative:page;mso-position-vertical-relative:paragraph;z-index:15739904" id="docshape3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401603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2309pt;width:1.65pt;height:1.65pt;mso-position-horizontal-relative:page;mso-position-vertical-relative:paragraph;z-index:15740416" id="docshape38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659968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6053pt;width:1.65pt;height:1.65pt;mso-position-horizontal-relative:page;mso-position-vertical-relative:paragraph;z-index:15740928" id="docshape39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Faculty, Developing Deposition Skills, National Institute of Trial Advocacy NITA, 1999 Adjunct Professor of Law, Pretrial Procedures, California Western School of Law, </w:t>
      </w:r>
      <w:r>
        <w:rPr>
          <w:color w:val="6E6158"/>
        </w:rPr>
        <w:t>1984 Guest Lecturer, Antitrust Law Seminar, University of San Diego, 1999</w:t>
      </w:r>
    </w:p>
    <w:p>
      <w:pPr>
        <w:pStyle w:val="BodyText"/>
        <w:spacing w:line="292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151557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3656pt;width:1.65pt;height:1.65pt;mso-position-horizontal-relative:page;mso-position-vertical-relative:paragraph;z-index:15741440" id="docshape40" coordorigin="1670,239" coordsize="33,33" path="m1691,271l1682,271,1678,270,1671,263,1670,259,1670,250,1671,247,1678,240,1682,239,1691,239,1694,240,1701,247,1702,250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Lecturer Business Litigation in the 1990’s – Tactics and Techniques, San Diego County Bar Association – Section on General Civil Litigation, 1989</w:t>
      </w:r>
    </w:p>
    <w:p>
      <w:pPr>
        <w:pStyle w:val="BodyText"/>
        <w:spacing w:before="13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141995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80766pt;width:1.65pt;height:1.65pt;mso-position-horizontal-relative:page;mso-position-vertical-relative:paragraph;z-index:15741952" id="docshape41" coordorigin="1670,224" coordsize="33,33" path="m1691,256l1682,256,1678,255,1671,248,1670,244,1670,235,1671,232,1678,225,1682,224,1691,224,1694,225,1701,232,1702,235,1702,240,1702,244,1701,248,1694,255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Lecturer,</w:t>
      </w:r>
      <w:r>
        <w:rPr>
          <w:color w:val="6E6158"/>
          <w:spacing w:val="10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Videotaped</w:t>
      </w:r>
      <w:r>
        <w:rPr>
          <w:color w:val="6E6158"/>
          <w:spacing w:val="11"/>
        </w:rPr>
        <w:t> </w:t>
      </w:r>
      <w:r>
        <w:rPr>
          <w:color w:val="6E6158"/>
        </w:rPr>
        <w:t>Depositions,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Continuing</w:t>
      </w:r>
      <w:r>
        <w:rPr>
          <w:color w:val="6E6158"/>
          <w:spacing w:val="10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Bar,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1982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169885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6804pt;width:1.65pt;height:1.65pt;mso-position-horizontal-relative:page;mso-position-vertical-relative:paragraph;z-index:15742464" id="docshape42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Antitrust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Journal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Institute</w:t>
      </w:r>
      <w:r>
        <w:rPr>
          <w:color w:val="6E6158"/>
          <w:spacing w:val="14"/>
        </w:rPr>
        <w:t> </w:t>
      </w:r>
      <w:r>
        <w:rPr>
          <w:color w:val="6E6158"/>
        </w:rPr>
        <w:t>Ed.,</w:t>
      </w:r>
      <w:r>
        <w:rPr>
          <w:color w:val="6E6158"/>
          <w:spacing w:val="14"/>
        </w:rPr>
        <w:t> </w:t>
      </w:r>
      <w:r>
        <w:rPr>
          <w:color w:val="6E6158"/>
        </w:rPr>
        <w:t>Co-editor,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1981-</w:t>
      </w:r>
      <w:r>
        <w:rPr>
          <w:color w:val="6E6158"/>
          <w:spacing w:val="-4"/>
        </w:rPr>
        <w:t>1984</w:t>
      </w:r>
    </w:p>
    <w:p>
      <w:pPr>
        <w:pStyle w:val="BodyText"/>
        <w:spacing w:line="29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262846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609pt;width:1.65pt;height:1.65pt;mso-position-horizontal-relative:page;mso-position-vertical-relative:paragraph;z-index:15742976" id="docshape43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Antitrust Trade Regulation: Developments Relating to Franchising Sullivan &amp; Rez, ABA </w:t>
      </w:r>
      <w:r>
        <w:rPr>
          <w:color w:val="6E6158"/>
        </w:rPr>
        <w:t>Forum Committee on Franchising 1983</w:t>
      </w:r>
    </w:p>
    <w:p>
      <w:pPr>
        <w:pStyle w:val="BodyText"/>
        <w:spacing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142794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649pt;width:1.65pt;height:1.65pt;mso-position-horizontal-relative:page;mso-position-vertical-relative:paragraph;z-index:15743488" id="docshape4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Let’s</w:t>
      </w:r>
      <w:r>
        <w:rPr>
          <w:color w:val="6E6158"/>
          <w:spacing w:val="8"/>
        </w:rPr>
        <w:t> </w:t>
      </w:r>
      <w:r>
        <w:rPr>
          <w:color w:val="6E6158"/>
        </w:rPr>
        <w:t>Get</w:t>
      </w:r>
      <w:r>
        <w:rPr>
          <w:color w:val="6E6158"/>
          <w:spacing w:val="9"/>
        </w:rPr>
        <w:t> </w:t>
      </w:r>
      <w:r>
        <w:rPr>
          <w:color w:val="6E6158"/>
        </w:rPr>
        <w:t>Rid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8"/>
        </w:rPr>
        <w:t> </w:t>
      </w:r>
      <w:r>
        <w:rPr>
          <w:color w:val="6E6158"/>
        </w:rPr>
        <w:t>Cases</w:t>
      </w:r>
      <w:r>
        <w:rPr>
          <w:color w:val="6E6158"/>
          <w:spacing w:val="9"/>
        </w:rPr>
        <w:t> </w:t>
      </w:r>
      <w:r>
        <w:rPr>
          <w:color w:val="6E6158"/>
        </w:rPr>
        <w:t>Sullivan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</w:rPr>
        <w:t>Rez,</w:t>
      </w:r>
      <w:r>
        <w:rPr>
          <w:color w:val="6E6158"/>
          <w:spacing w:val="8"/>
        </w:rPr>
        <w:t> </w:t>
      </w:r>
      <w:r>
        <w:rPr>
          <w:color w:val="6E6158"/>
        </w:rPr>
        <w:t>7</w:t>
      </w:r>
      <w:r>
        <w:rPr>
          <w:color w:val="6E6158"/>
          <w:spacing w:val="9"/>
        </w:rPr>
        <w:t> </w:t>
      </w:r>
      <w:r>
        <w:rPr>
          <w:color w:val="6E6158"/>
        </w:rPr>
        <w:t>Litigation</w:t>
      </w:r>
      <w:r>
        <w:rPr>
          <w:color w:val="6E6158"/>
          <w:spacing w:val="9"/>
        </w:rPr>
        <w:t> </w:t>
      </w:r>
      <w:r>
        <w:rPr>
          <w:color w:val="6E6158"/>
        </w:rPr>
        <w:t>Nos.</w:t>
      </w:r>
      <w:r>
        <w:rPr>
          <w:color w:val="6E6158"/>
          <w:spacing w:val="9"/>
        </w:rPr>
        <w:t> </w:t>
      </w:r>
      <w:r>
        <w:rPr>
          <w:color w:val="6E6158"/>
        </w:rPr>
        <w:t>4,</w:t>
      </w:r>
      <w:r>
        <w:rPr>
          <w:color w:val="6E6158"/>
          <w:spacing w:val="9"/>
        </w:rPr>
        <w:t> </w:t>
      </w:r>
      <w:r>
        <w:rPr>
          <w:color w:val="6E6158"/>
        </w:rPr>
        <w:t>p.8,</w:t>
      </w:r>
      <w:r>
        <w:rPr>
          <w:color w:val="6E6158"/>
          <w:spacing w:val="8"/>
        </w:rPr>
        <w:t> </w:t>
      </w:r>
      <w:r>
        <w:rPr>
          <w:color w:val="6E6158"/>
        </w:rPr>
        <w:t>Summer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1981</w:t>
      </w:r>
    </w:p>
    <w:p>
      <w:pPr>
        <w:pStyle w:val="BodyText"/>
        <w:spacing w:line="29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263060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43pt;width:1.65pt;height:1.65pt;mso-position-horizontal-relative:page;mso-position-vertical-relative:paragraph;z-index:15744000" id="docshape45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Antitrust Discovery Handbook and Supplement (Fraudulent Concealment and </w:t>
      </w:r>
      <w:r>
        <w:rPr>
          <w:color w:val="6E6158"/>
        </w:rPr>
        <w:t>Sanctions) Contributor, ABA Antitrust Section (1980)</w:t>
      </w:r>
    </w:p>
    <w:p>
      <w:pPr>
        <w:pStyle w:val="BodyText"/>
        <w:spacing w:after="0" w:line="292" w:lineRule="auto"/>
        <w:sectPr>
          <w:pgSz w:w="12240" w:h="15840"/>
          <w:pgMar w:top="480" w:bottom="280" w:left="1440" w:right="1440"/>
        </w:sectPr>
      </w:pPr>
    </w:p>
    <w:p>
      <w:pPr>
        <w:pStyle w:val="BodyText"/>
        <w:spacing w:line="292" w:lineRule="auto" w:before="83"/>
        <w:ind w:left="351" w:right="9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4512" id="docshape4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Causation and Automatic Damages in Secondary-Line Cases Under Section 2a of </w:t>
      </w:r>
      <w:r>
        <w:rPr>
          <w:color w:val="6E6158"/>
        </w:rPr>
        <w:t>the Robinson-Patman</w:t>
      </w:r>
      <w:r>
        <w:rPr>
          <w:color w:val="6E6158"/>
          <w:spacing w:val="30"/>
        </w:rPr>
        <w:t> </w:t>
      </w:r>
      <w:r>
        <w:rPr>
          <w:color w:val="6E6158"/>
        </w:rPr>
        <w:t>Act: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Fowler</w:t>
      </w:r>
      <w:r>
        <w:rPr>
          <w:color w:val="6E6158"/>
          <w:spacing w:val="30"/>
        </w:rPr>
        <w:t> </w:t>
      </w:r>
      <w:r>
        <w:rPr>
          <w:color w:val="6E6158"/>
        </w:rPr>
        <w:t>v.</w:t>
      </w:r>
      <w:r>
        <w:rPr>
          <w:color w:val="6E6158"/>
          <w:spacing w:val="30"/>
        </w:rPr>
        <w:t> </w:t>
      </w:r>
      <w:r>
        <w:rPr>
          <w:color w:val="6E6158"/>
        </w:rPr>
        <w:t>Gorlich</w:t>
      </w:r>
      <w:r>
        <w:rPr>
          <w:color w:val="6E6158"/>
          <w:spacing w:val="30"/>
        </w:rPr>
        <w:t> </w:t>
      </w:r>
      <w:r>
        <w:rPr>
          <w:color w:val="6E6158"/>
        </w:rPr>
        <w:t>Dead?,</w:t>
      </w:r>
      <w:r>
        <w:rPr>
          <w:color w:val="6E6158"/>
          <w:spacing w:val="30"/>
        </w:rPr>
        <w:t> </w:t>
      </w:r>
      <w:r>
        <w:rPr>
          <w:color w:val="6E6158"/>
        </w:rPr>
        <w:t>55</w:t>
      </w:r>
      <w:r>
        <w:rPr>
          <w:color w:val="6E6158"/>
          <w:spacing w:val="30"/>
        </w:rPr>
        <w:t> </w:t>
      </w:r>
      <w:r>
        <w:rPr>
          <w:color w:val="6E6158"/>
        </w:rPr>
        <w:t>Notre</w:t>
      </w:r>
      <w:r>
        <w:rPr>
          <w:color w:val="6E6158"/>
          <w:spacing w:val="30"/>
        </w:rPr>
        <w:t> </w:t>
      </w:r>
      <w:r>
        <w:rPr>
          <w:color w:val="6E6158"/>
        </w:rPr>
        <w:t>Dame</w:t>
      </w:r>
      <w:r>
        <w:rPr>
          <w:color w:val="6E6158"/>
          <w:spacing w:val="30"/>
        </w:rPr>
        <w:t> </w:t>
      </w:r>
      <w:r>
        <w:rPr>
          <w:color w:val="6E6158"/>
        </w:rPr>
        <w:t>Lawyer</w:t>
      </w:r>
      <w:r>
        <w:rPr>
          <w:color w:val="6E6158"/>
          <w:spacing w:val="30"/>
        </w:rPr>
        <w:t> </w:t>
      </w:r>
      <w:r>
        <w:rPr>
          <w:color w:val="6E6158"/>
        </w:rPr>
        <w:t>660</w:t>
      </w:r>
      <w:r>
        <w:rPr>
          <w:color w:val="6E6158"/>
          <w:spacing w:val="30"/>
        </w:rPr>
        <w:t> </w:t>
      </w:r>
      <w:r>
        <w:rPr>
          <w:color w:val="6E6158"/>
        </w:rPr>
        <w:t>1980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5024" id="docshape4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Lecturer,</w:t>
      </w:r>
      <w:r>
        <w:rPr>
          <w:color w:val="6E6158"/>
          <w:spacing w:val="11"/>
        </w:rPr>
        <w:t> </w:t>
      </w:r>
      <w:r>
        <w:rPr>
          <w:color w:val="6E6158"/>
        </w:rPr>
        <w:t>Practicum,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Institute,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Continuing</w:t>
      </w:r>
      <w:r>
        <w:rPr>
          <w:color w:val="6E6158"/>
          <w:spacing w:val="12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Bar,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1979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2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04pt;width:1.65pt;height:1.65pt;mso-position-horizontal-relative:page;mso-position-vertical-relative:paragraph;z-index:15745536" id="docshape4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416095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447pt;width:1.65pt;height:1.65pt;mso-position-horizontal-relative:page;mso-position-vertical-relative:paragraph;z-index:15746048" id="docshape4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County Bar Association, Civil Litigation </w:t>
      </w:r>
      <w:r>
        <w:rPr>
          <w:color w:val="6E6158"/>
        </w:rPr>
        <w:t>Section Editor, Harvard Environmental Law Review</w:t>
      </w:r>
    </w:p>
    <w:p>
      <w:pPr>
        <w:pStyle w:val="BodyText"/>
        <w:spacing w:line="302" w:lineRule="auto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157021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63904pt;width:1.65pt;height:1.65pt;mso-position-horizontal-relative:page;mso-position-vertical-relative:paragraph;z-index:15746560" id="docshape50" coordorigin="1670,247" coordsize="33,33" path="m1691,280l1682,280,1678,278,1671,272,1670,268,1670,259,1671,255,1678,249,1682,247,1691,247,1694,249,1701,255,1702,259,1702,264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 for the Southern District of California Lawyer Representatives to the Ninth</w:t>
      </w:r>
      <w:r>
        <w:rPr>
          <w:color w:val="6E6158"/>
          <w:spacing w:val="40"/>
        </w:rPr>
        <w:t> </w:t>
      </w:r>
      <w:r>
        <w:rPr>
          <w:color w:val="6E6158"/>
        </w:rPr>
        <w:t>Circuit Judicial Conference</w:t>
      </w:r>
    </w:p>
    <w:p>
      <w:pPr>
        <w:pStyle w:val="BodyText"/>
        <w:spacing w:line="420" w:lineRule="auto" w:before="112"/>
        <w:ind w:left="351" w:right="2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135626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79289pt;width:1.65pt;height:1.65pt;mso-position-horizontal-relative:page;mso-position-vertical-relative:paragraph;z-index:15747072" id="docshape51" coordorigin="1670,214" coordsize="33,33" path="m1691,246l1682,246,1678,245,1671,238,1670,234,1670,225,1671,222,1678,215,1682,214,1691,214,1694,215,1701,222,1702,225,1702,230,1702,234,1701,238,1694,245,1691,2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393992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23054pt;width:1.65pt;height:1.65pt;mso-position-horizontal-relative:page;mso-position-vertical-relative:paragraph;z-index:15747584" id="docshape52" coordorigin="1670,620" coordsize="33,33" path="m1691,653l1682,653,1678,651,1671,645,1670,641,1670,632,1671,628,1678,622,1682,620,1691,620,1694,622,1701,628,1702,632,1702,637,1702,641,1701,645,1694,651,1691,6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Committee, Harvard Law School Association of San </w:t>
      </w:r>
      <w:r>
        <w:rPr>
          <w:color w:val="6E6158"/>
        </w:rPr>
        <w:t>Diego. Board of Visitors, University of San Diego School of Law</w:t>
      </w:r>
    </w:p>
    <w:p>
      <w:pPr>
        <w:pStyle w:val="BodyText"/>
        <w:spacing w:line="427" w:lineRule="auto"/>
        <w:ind w:left="351" w:right="3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63497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9834pt;width:1.65pt;height:1.65pt;mso-position-horizontal-relative:page;mso-position-vertical-relative:paragraph;z-index:15748096" id="docshape5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321863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3584pt;width:1.65pt;height:1.65pt;mso-position-horizontal-relative:page;mso-position-vertical-relative:paragraph;z-index:15748608" id="docshape54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Trustees, John Paul the Great Catholic </w:t>
      </w:r>
      <w:r>
        <w:rPr>
          <w:color w:val="6E6158"/>
        </w:rPr>
        <w:t>University. Past president, Thomas More Society of San Diego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58780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8348pt;width:1.65pt;height:1.65pt;mso-position-horizontal-relative:page;mso-position-vertical-relative:paragraph;z-index:15749120" id="docshape55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Knight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Equestrian</w:t>
      </w:r>
      <w:r>
        <w:rPr>
          <w:color w:val="6E6158"/>
          <w:spacing w:val="10"/>
        </w:rPr>
        <w:t> </w:t>
      </w:r>
      <w:r>
        <w:rPr>
          <w:color w:val="6E6158"/>
        </w:rPr>
        <w:t>Order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Holy</w:t>
      </w:r>
      <w:r>
        <w:rPr>
          <w:color w:val="6E6158"/>
          <w:spacing w:val="10"/>
        </w:rPr>
        <w:t> </w:t>
      </w:r>
      <w:r>
        <w:rPr>
          <w:color w:val="6E6158"/>
        </w:rPr>
        <w:t>Sepulchre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Jerusalem</w:t>
      </w:r>
    </w:p>
    <w:p>
      <w:pPr>
        <w:pStyle w:val="BodyText"/>
        <w:spacing w:line="427" w:lineRule="auto" w:before="172"/>
        <w:ind w:left="351" w:right="11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173937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5863pt;width:1.65pt;height:1.65pt;mso-position-horizontal-relative:page;mso-position-vertical-relative:paragraph;z-index:15749632" id="docshape56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432303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9612pt;width:1.65pt;height:1.65pt;mso-position-horizontal-relative:page;mso-position-vertical-relative:paragraph;z-index:15750144" id="docshape57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2015 Annual Meeting for the Western Lieutenancy in San </w:t>
      </w:r>
      <w:r>
        <w:rPr>
          <w:color w:val="6E6158"/>
        </w:rPr>
        <w:t>Diego Coordinator, Mercy for the EOHSJ in San Diego</w:t>
      </w:r>
    </w:p>
    <w:p>
      <w:pPr>
        <w:pStyle w:val="BodyText"/>
        <w:spacing w:line="420" w:lineRule="auto"/>
        <w:ind w:left="351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54832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7531pt;width:1.65pt;height:1.65pt;mso-position-horizontal-relative:page;mso-position-vertical-relative:paragraph;z-index:15750656" id="docshape58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318365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8153pt;width:1.65pt;height:1.65pt;mso-position-horizontal-relative:page;mso-position-vertical-relative:paragraph;z-index:15751168" id="docshape59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Parish and Finance Councils at Our Lady of Refuge Roman Catholic </w:t>
      </w:r>
      <w:r>
        <w:rPr>
          <w:color w:val="6E6158"/>
        </w:rPr>
        <w:t>Church Diocesian Pastoral Council for the Diocese of San Diego, 2002-2004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58990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4936pt;width:1.65pt;height:1.65pt;mso-position-horizontal-relative:page;mso-position-vertical-relative:paragraph;z-index:15751680" id="docshape60" coordorigin="1670,93" coordsize="33,33" path="m1691,125l1682,125,1678,124,1671,118,1670,114,1670,105,1671,101,1678,94,1682,93,1691,93,1694,94,1701,101,1702,105,1702,109,1702,114,1701,118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Catholic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Exchange</w:t>
      </w:r>
    </w:p>
    <w:p>
      <w:pPr>
        <w:pStyle w:val="BodyText"/>
        <w:spacing w:before="17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170439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20448pt;width:1.65pt;height:1.65pt;mso-position-horizontal-relative:page;mso-position-vertical-relative:paragraph;z-index:15752192" id="docshape61" coordorigin="1670,268" coordsize="33,33" path="m1691,301l1682,301,1678,299,1671,293,1670,289,1670,280,1671,276,1678,270,1682,268,1691,268,1694,270,1701,276,1702,280,1702,285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</w:rPr>
        <w:t>Diego</w:t>
      </w:r>
      <w:r>
        <w:rPr>
          <w:color w:val="6E6158"/>
          <w:spacing w:val="13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Legatus,</w:t>
      </w:r>
      <w:r>
        <w:rPr>
          <w:color w:val="6E6158"/>
          <w:spacing w:val="14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2014</w:t>
      </w:r>
    </w:p>
    <w:p>
      <w:pPr>
        <w:pStyle w:val="BodyText"/>
        <w:spacing w:line="420" w:lineRule="auto" w:before="174"/>
        <w:ind w:left="351" w:right="2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174921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363pt;width:1.65pt;height:1.65pt;mso-position-horizontal-relative:page;mso-position-vertical-relative:paragraph;z-index:15752704" id="docshape6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433287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107pt;width:1.65pt;height:1.65pt;mso-position-horizontal-relative:page;mso-position-vertical-relative:paragraph;z-index:15753216" id="docshape6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Friends of the Poor-Nigeria Fundraiser for Bishops </w:t>
      </w:r>
      <w:r>
        <w:rPr>
          <w:color w:val="6E6158"/>
        </w:rPr>
        <w:t>Anthony Adaju and Martin Uzoukwu in August 2015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63422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3906pt;width:1.65pt;height:1.65pt;mso-position-horizontal-relative:page;mso-position-vertical-relative:paragraph;z-index:15753728" id="docshape64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Communion</w:t>
      </w:r>
      <w:r>
        <w:rPr>
          <w:color w:val="6E6158"/>
          <w:spacing w:val="14"/>
        </w:rPr>
        <w:t> </w:t>
      </w:r>
      <w:r>
        <w:rPr>
          <w:color w:val="6E6158"/>
        </w:rPr>
        <w:t>service,</w:t>
      </w:r>
      <w:r>
        <w:rPr>
          <w:color w:val="6E6158"/>
          <w:spacing w:val="15"/>
        </w:rPr>
        <w:t> </w:t>
      </w:r>
      <w:r>
        <w:rPr>
          <w:color w:val="6E6158"/>
        </w:rPr>
        <w:t>Wesley</w:t>
      </w:r>
      <w:r>
        <w:rPr>
          <w:color w:val="6E6158"/>
          <w:spacing w:val="15"/>
        </w:rPr>
        <w:t> </w:t>
      </w:r>
      <w:r>
        <w:rPr>
          <w:color w:val="6E6158"/>
        </w:rPr>
        <w:t>Palms</w:t>
      </w:r>
      <w:r>
        <w:rPr>
          <w:color w:val="6E6158"/>
          <w:spacing w:val="15"/>
        </w:rPr>
        <w:t> </w:t>
      </w:r>
      <w:r>
        <w:rPr>
          <w:color w:val="6E6158"/>
        </w:rPr>
        <w:t>Retirement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Home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152430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373pt;width:1.65pt;height:1.65pt;mso-position-horizontal-relative:page;mso-position-vertical-relative:paragraph;z-index:15754240" id="docshape65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drez@fennemorelaw.com" TargetMode="External"/><Relationship Id="rId11" Type="http://schemas.openxmlformats.org/officeDocument/2006/relationships/hyperlink" Target="https://jamespublishing.com/" TargetMode="External"/><Relationship Id="rId12" Type="http://schemas.openxmlformats.org/officeDocument/2006/relationships/hyperlink" Target="https://protect-us.mimecast.com/s/fOjxCR68kKuRjKBJc9_0oN?domain=sullivanhil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G. Rez - Fennemore</dc:title>
  <dcterms:created xsi:type="dcterms:W3CDTF">2026-03-18T20:06:08Z</dcterms:created>
  <dcterms:modified xsi:type="dcterms:W3CDTF">2026-03-18T20:06:08Z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