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rin Ander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5" w:right="74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ERIN T.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eanderson@fennemorelaw.com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Erin Anders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5" w:right="74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ERIN T.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ANDERSON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eanderson@fennemorelaw.com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ERIN</w:t>
      </w:r>
      <w:r>
        <w:rPr>
          <w:color w:val="FF8100"/>
          <w:spacing w:val="4"/>
        </w:rPr>
        <w:t> </w:t>
      </w:r>
      <w:r>
        <w:rPr>
          <w:color w:val="FF8100"/>
        </w:rPr>
        <w:t>T.</w:t>
      </w:r>
      <w:r>
        <w:rPr>
          <w:color w:val="FF8100"/>
          <w:spacing w:val="4"/>
        </w:rPr>
        <w:t> </w:t>
      </w:r>
      <w:r>
        <w:rPr>
          <w:color w:val="FF8100"/>
          <w:spacing w:val="-2"/>
        </w:rPr>
        <w:t>ANDERSON</w:t>
      </w:r>
    </w:p>
    <w:p>
      <w:pPr>
        <w:pStyle w:val="BodyText"/>
        <w:spacing w:line="302" w:lineRule="auto" w:before="147"/>
        <w:ind w:left="99" w:right="523"/>
      </w:pPr>
      <w:r>
        <w:rPr>
          <w:color w:val="6E6158"/>
        </w:rPr>
        <w:t>Erin Anderson is an Associate in Fennemore’s Labor &amp; Employment practice group, where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assists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</w:p>
    <w:p>
      <w:pPr>
        <w:pStyle w:val="BodyText"/>
        <w:spacing w:before="186"/>
        <w:ind w:left="99"/>
      </w:pPr>
      <w:r>
        <w:rPr>
          <w:color w:val="6E6158"/>
        </w:rPr>
        <w:t>Erin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areas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litigation,</w:t>
      </w:r>
      <w:r>
        <w:rPr>
          <w:color w:val="6E6158"/>
          <w:spacing w:val="11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probate</w:t>
      </w:r>
    </w:p>
    <w:p>
      <w:pPr>
        <w:pStyle w:val="BodyText"/>
        <w:spacing w:line="295" w:lineRule="auto" w:before="52"/>
        <w:ind w:left="99" w:right="514"/>
      </w:pPr>
      <w:r>
        <w:rPr>
          <w:color w:val="6E6158"/>
        </w:rPr>
        <w:t>litigation, bankruptcy, plaintiff’s personal injury, and estate planning. Prior to joining Fennemore,</w:t>
      </w:r>
      <w:r>
        <w:rPr>
          <w:color w:val="6E6158"/>
          <w:spacing w:val="40"/>
        </w:rPr>
        <w:t> </w:t>
      </w:r>
      <w:r>
        <w:rPr>
          <w:color w:val="6E6158"/>
        </w:rPr>
        <w:t>she was an associate at an Arizona-based law firm where she honed her litigation skills, including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35"/>
        </w:rPr>
        <w:t> </w:t>
      </w:r>
      <w:r>
        <w:rPr>
          <w:color w:val="6E6158"/>
        </w:rPr>
        <w:t>providing</w:t>
      </w:r>
      <w:r>
        <w:rPr>
          <w:color w:val="6E6158"/>
          <w:spacing w:val="35"/>
        </w:rPr>
        <w:t> </w:t>
      </w:r>
      <w:r>
        <w:rPr>
          <w:color w:val="6E6158"/>
        </w:rPr>
        <w:t>substantive</w:t>
      </w:r>
      <w:r>
        <w:rPr>
          <w:color w:val="6E6158"/>
          <w:spacing w:val="35"/>
        </w:rPr>
        <w:t> </w:t>
      </w:r>
      <w:r>
        <w:rPr>
          <w:color w:val="6E6158"/>
        </w:rPr>
        <w:t>trial</w:t>
      </w:r>
      <w:r>
        <w:rPr>
          <w:color w:val="6E6158"/>
          <w:spacing w:val="35"/>
        </w:rPr>
        <w:t> </w:t>
      </w:r>
      <w:r>
        <w:rPr>
          <w:color w:val="6E6158"/>
        </w:rPr>
        <w:t>preparation</w:t>
      </w:r>
      <w:r>
        <w:rPr>
          <w:color w:val="6E6158"/>
          <w:spacing w:val="35"/>
        </w:rPr>
        <w:t> </w:t>
      </w:r>
      <w:r>
        <w:rPr>
          <w:color w:val="6E6158"/>
        </w:rPr>
        <w:t>work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two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litigation</w:t>
      </w:r>
      <w:r>
        <w:rPr>
          <w:color w:val="6E6158"/>
          <w:spacing w:val="35"/>
        </w:rPr>
        <w:t> </w:t>
      </w:r>
      <w:r>
        <w:rPr>
          <w:color w:val="6E6158"/>
        </w:rPr>
        <w:t>matters (both resulting in eight-figure favorable outcomes). She was also a judicial extern at the Arizona</w:t>
      </w:r>
      <w:r>
        <w:rPr>
          <w:color w:val="6E6158"/>
          <w:spacing w:val="40"/>
        </w:rPr>
        <w:t> </w:t>
      </w:r>
      <w:r>
        <w:rPr>
          <w:color w:val="6E6158"/>
        </w:rPr>
        <w:t>Court of Appeals, Division One and a student-attorney at the Indian Legal Clinic, providing</w:t>
      </w:r>
      <w:r>
        <w:rPr>
          <w:color w:val="6E6158"/>
          <w:spacing w:val="40"/>
        </w:rPr>
        <w:t> </w:t>
      </w:r>
      <w:r>
        <w:rPr>
          <w:color w:val="6E6158"/>
        </w:rPr>
        <w:t>probate and estate planning services to Native American clients.</w:t>
      </w:r>
    </w:p>
    <w:p>
      <w:pPr>
        <w:pStyle w:val="BodyText"/>
        <w:spacing w:line="292" w:lineRule="auto" w:before="201"/>
        <w:ind w:left="99" w:right="523"/>
      </w:pPr>
      <w:r>
        <w:rPr>
          <w:color w:val="6E6158"/>
        </w:rPr>
        <w:t>In her free time, Erin can be found creating and selling wheel-thrown pottery, binge-</w:t>
      </w:r>
      <w:r>
        <w:rPr>
          <w:color w:val="6E6158"/>
        </w:rPr>
        <w:t>reading</w:t>
      </w:r>
      <w:r>
        <w:rPr>
          <w:color w:val="6E6158"/>
          <w:spacing w:val="40"/>
        </w:rPr>
        <w:t> </w:t>
      </w:r>
      <w:r>
        <w:rPr>
          <w:color w:val="6E6158"/>
        </w:rPr>
        <w:t>Agatha Christie novels, or firing up an amazing meal on the grill.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7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58"/>
        <w:ind w:left="848" w:right="4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396064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186195pt;width:1.65pt;height:1.65pt;mso-position-horizontal-relative:page;mso-position-vertical-relative:paragraph;z-index:15729152" id="docshape7" coordorigin="1670,624" coordsize="33,33" path="m1691,656l1682,656,1678,655,1671,648,1670,644,1670,636,1671,632,1678,625,1682,624,1691,624,1694,625,1701,632,1702,636,1702,640,1702,644,1701,648,1694,655,1691,6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96360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87453pt;width:1.65pt;height:1.65pt;mso-position-horizontal-relative:page;mso-position-vertical-relative:paragraph;z-index:15729664" id="docshape8" coordorigin="2166,152" coordsize="33,33" path="m2187,184l2178,184,2174,183,2168,176,2166,173,2166,164,2168,160,2174,153,2178,152,2187,152,2191,153,2197,160,2199,164,2199,168,2199,173,2197,176,2191,183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354726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931196pt;width:1.65pt;height:1.65pt;mso-position-horizontal-relative:page;mso-position-vertical-relative:paragraph;z-index:15730176" id="docshape9" coordorigin="2166,559" coordsize="33,33" path="m2187,591l2178,591,2174,590,2168,583,2166,579,2166,570,2168,567,2174,560,2178,559,2187,559,2191,560,2197,567,2199,570,2199,575,2199,579,2197,583,2191,590,2187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Editor-in-Chief, Arizona State Law </w:t>
      </w:r>
      <w:r>
        <w:rPr>
          <w:color w:val="6E6158"/>
        </w:rPr>
        <w:t>Journal O’Connor Honors Program</w:t>
      </w:r>
    </w:p>
    <w:p>
      <w:pPr>
        <w:pStyle w:val="BodyText"/>
        <w:spacing w:line="231" w:lineRule="exact" w:before="0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63688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14843pt;width:1.65pt;height:1.65pt;mso-position-horizontal-relative:page;mso-position-vertical-relative:paragraph;z-index:15730688" id="docshape10" coordorigin="2166,100" coordsize="33,33" path="m2187,133l2178,133,2174,131,2168,125,2166,121,2166,112,2168,108,2174,102,2178,100,2187,100,2191,102,2197,108,2199,112,2199,117,2199,121,2197,125,2191,131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Affairs,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Students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16" w:lineRule="exact" w:before="32"/>
        <w:ind w:right="1941" w:firstLine="49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175137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790388pt;width:1.65pt;height:1.65pt;mso-position-horizontal-relative:page;mso-position-vertical-relative:paragraph;z-index:15731200" id="docshape11" coordorigin="2166,276" coordsize="33,33" path="m2187,308l2178,308,2174,307,2168,300,2166,297,2166,288,2168,284,2174,277,2178,276,2187,276,2191,277,2197,284,2199,288,2199,292,2199,297,2197,300,2191,307,2187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Member and Director of Pro Bono, Family Law Interest </w:t>
      </w:r>
      <w:r>
        <w:rPr>
          <w:color w:val="6E6158"/>
        </w:rPr>
        <w:t>Project B.A., Elon University, </w:t>
      </w:r>
      <w:r>
        <w:rPr>
          <w:i/>
          <w:color w:val="6E6158"/>
          <w:sz w:val="20"/>
        </w:rPr>
        <w:t>summa cum laude</w:t>
      </w:r>
    </w:p>
    <w:p>
      <w:pPr>
        <w:pStyle w:val="BodyText"/>
        <w:spacing w:line="420" w:lineRule="auto" w:before="10"/>
        <w:ind w:left="848" w:right="74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365423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773489pt;width:1.65pt;height:1.65pt;mso-position-horizontal-relative:page;mso-position-vertical-relative:paragraph;z-index:15731712" id="docshape12" coordorigin="1670,575" coordsize="33,33" path="m1691,608l1682,608,1678,606,1671,600,1670,596,1670,587,1671,583,1678,577,1682,575,1691,575,1694,577,1701,583,1702,587,1702,592,1702,596,1701,600,1694,606,1691,6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1375552</wp:posOffset>
                </wp:positionH>
                <wp:positionV relativeFrom="paragraph">
                  <wp:posOffset>70886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581619pt;width:1.65pt;height:1.65pt;mso-position-horizontal-relative:page;mso-position-vertical-relative:paragraph;z-index:15732224" id="docshape13" coordorigin="2166,112" coordsize="33,33" path="m2187,144l2178,144,2174,143,2168,136,2166,132,2166,123,2168,120,2174,113,2178,112,2187,112,2191,113,2197,120,2199,123,2199,128,2199,132,2197,136,2191,143,2187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329252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925386pt;width:1.65pt;height:1.65pt;mso-position-horizontal-relative:page;mso-position-vertical-relative:paragraph;z-index:15732736" id="docshape14" coordorigin="2166,519" coordsize="33,33" path="m2187,551l2178,551,2174,549,2168,543,2166,539,2166,530,2168,526,2174,520,2178,519,2187,519,2191,520,2197,526,2199,530,2199,535,2199,539,2197,543,2191,549,2187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587617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6.269131pt;width:1.65pt;height:1.65pt;mso-position-horizontal-relative:page;mso-position-vertical-relative:paragraph;z-index:15733248" id="docshape15" coordorigin="2166,925" coordsize="33,33" path="m2187,958l2178,958,2174,956,2168,950,2166,946,2166,937,2168,933,2174,927,2178,925,2187,925,2191,927,2197,933,2199,937,2199,942,2199,946,2197,950,2191,956,2187,9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Honors Fellow Phi Kappa Phi Pi</w:t>
      </w:r>
      <w:r>
        <w:rPr>
          <w:color w:val="6E6158"/>
          <w:spacing w:val="8"/>
        </w:rPr>
        <w:t> </w:t>
      </w:r>
      <w:r>
        <w:rPr>
          <w:color w:val="6E6158"/>
        </w:rPr>
        <w:t>Sigma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Alpha</w:t>
      </w:r>
    </w:p>
    <w:p>
      <w:pPr>
        <w:pStyle w:val="BodyText"/>
        <w:spacing w:before="5"/>
        <w:ind w:left="8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63022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96242pt;width:1.65pt;height:1.65pt;mso-position-horizontal-relative:page;mso-position-vertical-relative:paragraph;z-index:15733760" id="docshape16" coordorigin="2166,99" coordsize="33,33" path="m2187,132l2178,132,2174,130,2168,124,2166,120,2166,111,2168,107,2174,101,2178,99,2187,99,2191,101,2197,107,2199,111,2199,116,2199,120,2197,124,2191,130,2187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Theta</w:t>
      </w:r>
      <w:r>
        <w:rPr>
          <w:color w:val="6E6158"/>
          <w:spacing w:val="11"/>
        </w:rPr>
        <w:t> </w:t>
      </w:r>
      <w:r>
        <w:rPr>
          <w:color w:val="6E6158"/>
        </w:rPr>
        <w:t>Alpha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68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26pt;width:1.65pt;height:1.65pt;mso-position-horizontal-relative:page;mso-position-vertical-relative:paragraph;z-index:15734784" id="docshape18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</w:t>
      </w:r>
      <w:r>
        <w:rPr>
          <w:color w:val="6E6158"/>
        </w:rPr>
        <w:t>Litigation Labor &amp; Employment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72pt;width:1.65pt;height:1.65pt;mso-position-horizontal-relative:page;mso-position-vertical-relative:paragraph;z-index:15735296" id="docshape1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157605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86pt;width:1.65pt;height:1.65pt;mso-position-horizontal-relative:page;mso-position-vertical-relative:paragraph;z-index:15735808" id="docshape2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Second-highest</w:t>
      </w:r>
      <w:r>
        <w:rPr>
          <w:color w:val="6E6158"/>
          <w:spacing w:val="11"/>
        </w:rPr>
        <w:t> </w:t>
      </w:r>
      <w:r>
        <w:rPr>
          <w:color w:val="6E6158"/>
        </w:rPr>
        <w:t>score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</w:rPr>
        <w:t>2024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Exam</w:t>
      </w:r>
    </w:p>
    <w:p>
      <w:pPr>
        <w:pStyle w:val="BodyText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157973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886pt;width:1.65pt;height:1.65pt;mso-position-horizontal-relative:page;mso-position-vertical-relative:paragraph;z-index:15736320" id="docshape2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175068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928pt;width:1.65pt;height:1.65pt;mso-position-horizontal-relative:page;mso-position-vertical-relative:paragraph;z-index:15736832" id="docshape2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eander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T. Anderson - Fennemore</dc:title>
  <dcterms:created xsi:type="dcterms:W3CDTF">2026-03-10T15:21:28Z</dcterms:created>
  <dcterms:modified xsi:type="dcterms:W3CDTF">2026-03-10T15:21:28Z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m142</vt:lpwstr>
  </property>
</Properties>
</file>