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Bowles Bio NE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2784" y="763308"/>
                            <a:ext cx="15748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BOWLES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59767" y="2133494"/>
                            <a:ext cx="800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94234" y="2603719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10650" y="2975766"/>
                            <a:ext cx="14992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kbowles@fennemorelaw.com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Kate Bowles Bio NEW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7;top:-4635;width:248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BOWLES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887;top:-2477;width:126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8256;top:-1737;width:52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7337;top:-1151;width:2361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kbowles@fennemorelaw.com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KATHERINE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BOWLES</w:t>
      </w:r>
    </w:p>
    <w:p>
      <w:pPr>
        <w:pStyle w:val="BodyText"/>
        <w:spacing w:line="295" w:lineRule="auto" w:before="147"/>
        <w:ind w:left="99" w:right="122"/>
      </w:pPr>
      <w:r>
        <w:rPr>
          <w:color w:val="6E6158"/>
        </w:rPr>
        <w:t>Kate Bowle’s law practice focuses on providing business solutions, including preventive and</w:t>
      </w:r>
      <w:r>
        <w:rPr>
          <w:color w:val="6E6158"/>
          <w:spacing w:val="40"/>
        </w:rPr>
        <w:t> </w:t>
      </w:r>
      <w:r>
        <w:rPr>
          <w:color w:val="6E6158"/>
        </w:rPr>
        <w:t>litigation strategies for health organizations, such as companies with large healthcare networks.</w:t>
      </w:r>
      <w:r>
        <w:rPr>
          <w:color w:val="6E6158"/>
          <w:spacing w:val="40"/>
        </w:rPr>
        <w:t> </w:t>
      </w:r>
      <w:r>
        <w:rPr>
          <w:color w:val="6E6158"/>
        </w:rPr>
        <w:t>Kate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spent</w:t>
      </w:r>
      <w:r>
        <w:rPr>
          <w:color w:val="6E6158"/>
          <w:spacing w:val="26"/>
        </w:rPr>
        <w:t> </w:t>
      </w:r>
      <w:r>
        <w:rPr>
          <w:color w:val="6E6158"/>
        </w:rPr>
        <w:t>15</w:t>
      </w:r>
      <w:r>
        <w:rPr>
          <w:color w:val="6E6158"/>
          <w:spacing w:val="26"/>
        </w:rPr>
        <w:t> </w:t>
      </w:r>
      <w:r>
        <w:rPr>
          <w:color w:val="6E6158"/>
        </w:rPr>
        <w:t>years</w:t>
      </w:r>
      <w:r>
        <w:rPr>
          <w:color w:val="6E6158"/>
          <w:spacing w:val="26"/>
        </w:rPr>
        <w:t> </w:t>
      </w:r>
      <w:r>
        <w:rPr>
          <w:color w:val="6E6158"/>
        </w:rPr>
        <w:t>immersed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legalities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federal,</w:t>
      </w:r>
      <w:r>
        <w:rPr>
          <w:color w:val="6E6158"/>
          <w:spacing w:val="26"/>
        </w:rPr>
        <w:t> </w:t>
      </w:r>
      <w:r>
        <w:rPr>
          <w:color w:val="6E6158"/>
        </w:rPr>
        <w:t>state,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infrastructure and has touched on almost every subject within healthcare. During and before law school, Kate</w:t>
      </w:r>
      <w:r>
        <w:rPr>
          <w:color w:val="6E6158"/>
          <w:spacing w:val="40"/>
        </w:rPr>
        <w:t> </w:t>
      </w:r>
      <w:r>
        <w:rPr>
          <w:color w:val="6E6158"/>
        </w:rPr>
        <w:t>worked as a Registered Nurse in hospitals throughout Los Angeles County and helped manage a</w:t>
      </w:r>
      <w:r>
        <w:rPr>
          <w:color w:val="6E6158"/>
          <w:spacing w:val="40"/>
        </w:rPr>
        <w:t> </w:t>
      </w:r>
      <w:r>
        <w:rPr>
          <w:color w:val="6E6158"/>
        </w:rPr>
        <w:t>60-bed unit in an acute care hospital.</w:t>
      </w:r>
    </w:p>
    <w:p>
      <w:pPr>
        <w:pStyle w:val="BodyText"/>
        <w:spacing w:line="295" w:lineRule="auto" w:before="193"/>
        <w:ind w:left="99" w:right="338"/>
      </w:pPr>
      <w:r>
        <w:rPr>
          <w:color w:val="6E6158"/>
        </w:rPr>
        <w:t>Kate puts her clients first. Assisting clients with compliance, investigation, and enforcement of</w:t>
      </w:r>
      <w:r>
        <w:rPr>
          <w:color w:val="6E6158"/>
          <w:spacing w:val="40"/>
        </w:rPr>
        <w:t> </w:t>
      </w:r>
      <w:r>
        <w:rPr>
          <w:color w:val="6E6158"/>
        </w:rPr>
        <w:t>Medicare/Medi-Cal Fraud and Abuse, Stark Law\Anti-Kickback Statute, payor disputes,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litigation, she has a passion for helping clients see the big picture within their organization and attempts to address compliance issues before they arise. Her </w:t>
      </w:r>
      <w:r>
        <w:rPr>
          <w:color w:val="6E6158"/>
        </w:rPr>
        <w:t>representations</w:t>
      </w:r>
      <w:r>
        <w:rPr>
          <w:color w:val="6E6158"/>
          <w:spacing w:val="40"/>
        </w:rPr>
        <w:t> </w:t>
      </w:r>
      <w:r>
        <w:rPr>
          <w:color w:val="6E6158"/>
        </w:rPr>
        <w:t>have focused on everything from impact litigation to corrective legislation to negotiating new</w:t>
      </w:r>
      <w:r>
        <w:rPr>
          <w:color w:val="6E6158"/>
          <w:spacing w:val="40"/>
        </w:rPr>
        <w:t> </w:t>
      </w:r>
      <w:r>
        <w:rPr>
          <w:color w:val="6E6158"/>
        </w:rPr>
        <w:t>contracts to achieving early settlement outside of court. When necessary, Kate takes matters</w:t>
      </w:r>
      <w:r>
        <w:rPr>
          <w:color w:val="6E6158"/>
          <w:spacing w:val="40"/>
        </w:rPr>
        <w:t> </w:t>
      </w:r>
      <w:r>
        <w:rPr>
          <w:color w:val="6E6158"/>
        </w:rPr>
        <w:t>through trial and up on appeal. Many of Kate’s clients are nontraditional; for example, she has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compliant</w:t>
      </w:r>
      <w:r>
        <w:rPr>
          <w:color w:val="6E6158"/>
          <w:spacing w:val="40"/>
        </w:rPr>
        <w:t> </w:t>
      </w:r>
      <w:r>
        <w:rPr>
          <w:color w:val="6E6158"/>
        </w:rPr>
        <w:t>programs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whole-person-centered care program through Medi-Cal. Representing a diversity of providers allows Kate to</w:t>
      </w:r>
      <w:r>
        <w:rPr>
          <w:color w:val="6E6158"/>
          <w:spacing w:val="40"/>
        </w:rPr>
        <w:t> </w:t>
      </w:r>
      <w:r>
        <w:rPr>
          <w:color w:val="6E6158"/>
        </w:rPr>
        <w:t>effectively evaluate the motivations of various participants within the healthcare industry and</w:t>
      </w:r>
      <w:r>
        <w:rPr>
          <w:color w:val="6E6158"/>
          <w:spacing w:val="40"/>
        </w:rPr>
        <w:t> </w:t>
      </w:r>
      <w:r>
        <w:rPr>
          <w:color w:val="6E6158"/>
        </w:rPr>
        <w:t>take advantage of emerging trends. Kate is also versed in artificial intelligence and uses these</w:t>
      </w:r>
      <w:r>
        <w:rPr>
          <w:color w:val="6E6158"/>
          <w:spacing w:val="40"/>
        </w:rPr>
        <w:t> </w:t>
      </w:r>
      <w:r>
        <w:rPr>
          <w:color w:val="6E6158"/>
        </w:rPr>
        <w:t>tools efficiently and confidentially to handle her clients’ needs.</w:t>
      </w:r>
    </w:p>
    <w:p>
      <w:pPr>
        <w:pStyle w:val="BodyText"/>
        <w:spacing w:line="292" w:lineRule="auto" w:before="207"/>
        <w:ind w:left="99" w:right="387"/>
      </w:pPr>
      <w:r>
        <w:rPr>
          <w:color w:val="6E6158"/>
        </w:rPr>
        <w:t>She is licensed throughout California, including the U.S. District Courts for the Eastern, </w:t>
      </w:r>
      <w:r>
        <w:rPr>
          <w:color w:val="6E6158"/>
        </w:rPr>
        <w:t>Central,</w:t>
      </w:r>
      <w:r>
        <w:rPr>
          <w:color w:val="6E6158"/>
          <w:spacing w:val="40"/>
        </w:rPr>
        <w:t> </w:t>
      </w:r>
      <w:r>
        <w:rPr>
          <w:color w:val="6E6158"/>
        </w:rPr>
        <w:t>and Southern Districts of California and the Ninth Circuit Court of Appeal.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157782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825pt;width:1.65pt;height:1.65pt;mso-position-horizontal-relative:page;mso-position-vertical-relative:paragraph;z-index:15729152" id="docshape14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Pepperdine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173441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85pt;width:1.65pt;height:1.65pt;mso-position-horizontal-relative:page;mso-position-vertical-relative:paragraph;z-index:15729664" id="docshape15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B.S.N.,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Pennsylvania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158022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721pt;width:1.65pt;height:1.65pt;mso-position-horizontal-relative:page;mso-position-vertical-relative:paragraph;z-index:15730176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74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8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Health</w:t>
      </w:r>
      <w:r>
        <w:rPr>
          <w:color w:val="6E6158"/>
          <w:spacing w:val="-7"/>
        </w:rPr>
        <w:t> </w:t>
      </w:r>
      <w:r>
        <w:rPr>
          <w:color w:val="6E6158"/>
        </w:rPr>
        <w:t>Care </w:t>
      </w:r>
      <w:r>
        <w:rPr>
          <w:color w:val="6E6158"/>
          <w:spacing w:val="-2"/>
        </w:rPr>
        <w:t>ERISA</w:t>
      </w:r>
    </w:p>
    <w:p>
      <w:pPr>
        <w:pStyle w:val="Heading1"/>
        <w:spacing w:before="4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338719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0799pt;width:1.65pt;height:1.65pt;mso-position-horizontal-relative:page;mso-position-vertical-relative:paragraph;z-index:15731712" id="docshape19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Host and Moderator, “U.S. Department of Education’s Notice of Proposed Rulemaking on 34 CFR Parts 674, 682, and 685,” American Bar Association Health Law Section panel, March 31,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236198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269pt;width:1.65pt;height:1.65pt;mso-position-horizontal-relative:page;mso-position-vertical-relative:paragraph;z-index:15732224" id="docshape2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“Legal Aspects of Anesthesiology,”</w:t>
      </w:r>
      <w:r>
        <w:rPr>
          <w:color w:val="6E6158"/>
          <w:spacing w:val="40"/>
        </w:rPr>
        <w:t> </w:t>
      </w:r>
      <w:r>
        <w:rPr>
          <w:color w:val="6E6158"/>
        </w:rPr>
        <w:t>Washington Association of Nurse </w:t>
      </w:r>
      <w:r>
        <w:rPr>
          <w:color w:val="6E6158"/>
        </w:rPr>
        <w:t>Anesthesiology, Bellingham, Washington, March 28, 2026</w:t>
      </w:r>
    </w:p>
    <w:p>
      <w:pPr>
        <w:pStyle w:val="BodyText"/>
        <w:spacing w:line="292" w:lineRule="auto" w:before="112"/>
        <w:ind w:left="351" w:right="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223906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047pt;width:1.65pt;height:1.65pt;mso-position-horizontal-relative:page;mso-position-vertical-relative:paragraph;z-index:15732736" id="docshape2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Co-Speaker, with Assemblymember Flora, “The Facts About AB 876,” January 28, </w:t>
      </w:r>
      <w:r>
        <w:rPr>
          <w:color w:val="6E6158"/>
        </w:rPr>
        <w:t>2026 </w:t>
      </w:r>
      <w:r>
        <w:rPr>
          <w:color w:val="6E6158"/>
          <w:spacing w:val="-2"/>
        </w:rPr>
        <w:t>Webinar.</w:t>
      </w:r>
    </w:p>
    <w:p>
      <w:pPr>
        <w:pStyle w:val="BodyText"/>
        <w:spacing w:line="302" w:lineRule="auto" w:before="124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236237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349pt;width:1.65pt;height:1.65pt;mso-position-horizontal-relative:page;mso-position-vertical-relative:paragraph;z-index:15733248" id="docshape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“Lessons Learned: Health Plan Litigation for Fraudulent Mommy Makeovers,” </w:t>
      </w:r>
      <w:r>
        <w:rPr>
          <w:color w:val="6E6158"/>
        </w:rPr>
        <w:t>January 22, 2026, Health Benefits Conference and Expo, Jacksonville, Florida.</w:t>
      </w:r>
    </w:p>
    <w:p>
      <w:pPr>
        <w:pStyle w:val="BodyText"/>
        <w:spacing w:line="292" w:lineRule="auto" w:before="112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223944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448pt;width:1.65pt;height:1.65pt;mso-position-horizontal-relative:page;mso-position-vertical-relative:paragraph;z-index:15733760" id="docshape2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USC Keck School of Medicine Program of Nurse Anesthesiology, November 5, </w:t>
      </w:r>
      <w:r>
        <w:rPr>
          <w:color w:val="6E6158"/>
        </w:rPr>
        <w:t>2025, Los Angeles, California.</w:t>
      </w:r>
    </w:p>
    <w:p>
      <w:pPr>
        <w:pStyle w:val="BodyText"/>
        <w:spacing w:line="292" w:lineRule="auto" w:before="132"/>
        <w:ind w:left="351"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236274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322pt;width:1.65pt;height:1.65pt;mso-position-horizontal-relative:page;mso-position-vertical-relative:paragraph;z-index:15734272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“The Anatomy of a California Hit Job and Resulting Crisis of Confidence,” CANA Western States Regional Anesthesia Seminar, October 4, 2025, Las Vegas, Nevada.</w:t>
      </w:r>
    </w:p>
    <w:p>
      <w:pPr>
        <w:pStyle w:val="BodyText"/>
        <w:spacing w:line="292" w:lineRule="auto" w:before="123"/>
        <w:ind w:left="351"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230737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8327pt;width:1.65pt;height:1.65pt;mso-position-horizontal-relative:page;mso-position-vertical-relative:paragraph;z-index:15734784" id="docshape2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U.S. Healthcare in OBBBA: A Patchwork of Big Changes</w:t>
        </w:r>
      </w:hyperlink>
      <w:r>
        <w:rPr>
          <w:color w:val="6E6158"/>
        </w:rPr>
        <w:t>,” Fennemore Blog, August 19,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236081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117pt;width:1.65pt;height:1.65pt;mso-position-horizontal-relative:page;mso-position-vertical-relative:paragraph;z-index:15735296" id="docshape2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Federal and California’s Shared Interest in Promoting Open Competition: Isn’t </w:t>
        </w:r>
        <w:r>
          <w:rPr>
            <w:color w:val="F5821F"/>
          </w:rPr>
          <w:t>it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Ironic?</w:t>
        </w:r>
      </w:hyperlink>
      <w:r>
        <w:rPr>
          <w:color w:val="6E6158"/>
        </w:rPr>
        <w:t>,” Fennemore Blog, July 31, 2025</w:t>
      </w:r>
    </w:p>
    <w:p>
      <w:pPr>
        <w:pStyle w:val="BodyText"/>
        <w:spacing w:line="292" w:lineRule="auto"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230544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09pt;width:1.65pt;height:1.65pt;mso-position-horizontal-relative:page;mso-position-vertical-relative:paragraph;z-index:15735808" id="docshape27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California’s Bold Experiment with Whole-Person Centered Care: Has it </w:t>
        </w:r>
        <w:r>
          <w:rPr>
            <w:color w:val="F5821F"/>
          </w:rPr>
          <w:t>Worked?</w:t>
        </w:r>
      </w:hyperlink>
      <w:r>
        <w:rPr>
          <w:color w:val="6E6158"/>
        </w:rPr>
        <w:t>,” Fennemore Blog, June 11, 2025</w:t>
      </w:r>
    </w:p>
    <w:p>
      <w:pPr>
        <w:pStyle w:val="BodyText"/>
        <w:spacing w:line="292" w:lineRule="auto" w:before="131"/>
        <w:ind w:left="351"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235889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967pt;width:1.65pt;height:1.65pt;mso-position-horizontal-relative:page;mso-position-vertical-relative:paragraph;z-index:15736320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143142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053pt;width:1.65pt;height:1.65pt;mso-position-horizontal-relative:page;mso-position-vertical-relative:paragraph;z-index:15736832" id="docshape2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“Nursing</w:t>
      </w:r>
      <w:r>
        <w:rPr>
          <w:color w:val="6E6158"/>
          <w:spacing w:val="8"/>
        </w:rPr>
        <w:t> </w:t>
      </w:r>
      <w:r>
        <w:rPr>
          <w:color w:val="6E6158"/>
        </w:rPr>
        <w:t>Impact</w:t>
      </w:r>
      <w:r>
        <w:rPr>
          <w:color w:val="6E6158"/>
          <w:spacing w:val="8"/>
        </w:rPr>
        <w:t> </w:t>
      </w:r>
      <w:r>
        <w:rPr>
          <w:color w:val="6E6158"/>
        </w:rPr>
        <w:t>Litigation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Tale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Two</w:t>
      </w:r>
      <w:r>
        <w:rPr>
          <w:color w:val="6E6158"/>
          <w:spacing w:val="8"/>
        </w:rPr>
        <w:t> </w:t>
      </w:r>
      <w:r>
        <w:rPr>
          <w:color w:val="6E6158"/>
        </w:rPr>
        <w:t>Matters,”</w:t>
      </w:r>
      <w:r>
        <w:rPr>
          <w:color w:val="6E6158"/>
          <w:spacing w:val="8"/>
        </w:rPr>
        <w:t> </w:t>
      </w:r>
      <w:r>
        <w:rPr>
          <w:color w:val="6E6158"/>
        </w:rPr>
        <w:t>JD</w:t>
      </w:r>
      <w:r>
        <w:rPr>
          <w:color w:val="6E6158"/>
          <w:spacing w:val="8"/>
        </w:rPr>
        <w:t> </w:t>
      </w:r>
      <w:r>
        <w:rPr>
          <w:color w:val="6E6158"/>
        </w:rPr>
        <w:t>Supra,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18,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3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267854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0883pt;width:1.65pt;height:1.65pt;mso-position-horizontal-relative:page;mso-position-vertical-relative:paragraph;z-index:15737344" id="docshape30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“Lessons Learned from ERISA Health Plan Representation and Recommendations </w:t>
      </w:r>
      <w:r>
        <w:rPr>
          <w:color w:val="6E6158"/>
        </w:rPr>
        <w:t>for Plan Design and Oversight,” JD Supra, February 19, 2025</w:t>
      </w:r>
    </w:p>
    <w:p>
      <w:pPr>
        <w:pStyle w:val="BodyText"/>
        <w:spacing w:line="292" w:lineRule="auto" w:before="113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224446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977pt;width:1.65pt;height:1.65pt;mso-position-horizontal-relative:page;mso-position-vertical-relative:paragraph;z-index:15737856" id="docshape3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“Regulatory Landscape of Insurance Claims Denial Practices and Suggestions for </w:t>
      </w:r>
      <w:r>
        <w:rPr>
          <w:color w:val="6E6158"/>
        </w:rPr>
        <w:t>a Path Forward to a Sustainable Healthcare Future,” JD Supra, January 31, 2025</w:t>
      </w:r>
    </w:p>
    <w:p>
      <w:pPr>
        <w:pStyle w:val="BodyText"/>
        <w:spacing w:line="292" w:lineRule="auto" w:before="132"/>
        <w:ind w:left="351" w:right="4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236141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832pt;width:1.65pt;height:1.65pt;mso-position-horizontal-relative:page;mso-position-vertical-relative:paragraph;z-index:15738368" id="docshape3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Public Health (CDPH) ‘All Facilities Letter’ and Survey Activities</w:t>
      </w:r>
      <w:r>
        <w:rPr>
          <w:color w:val="6E6158"/>
          <w:spacing w:val="14"/>
        </w:rPr>
        <w:t> </w:t>
      </w:r>
      <w:r>
        <w:rPr>
          <w:color w:val="6E6158"/>
        </w:rPr>
        <w:t>Impacting</w:t>
      </w:r>
      <w:r>
        <w:rPr>
          <w:color w:val="6E6158"/>
          <w:spacing w:val="14"/>
        </w:rPr>
        <w:t> </w:t>
      </w:r>
      <w:r>
        <w:rPr>
          <w:color w:val="6E6158"/>
        </w:rPr>
        <w:t>Nurse</w:t>
      </w:r>
      <w:r>
        <w:rPr>
          <w:color w:val="6E6158"/>
          <w:spacing w:val="14"/>
        </w:rPr>
        <w:t> </w:t>
      </w:r>
      <w:r>
        <w:rPr>
          <w:color w:val="6E6158"/>
        </w:rPr>
        <w:t>Anesthesiology</w:t>
      </w:r>
      <w:r>
        <w:rPr>
          <w:color w:val="6E6158"/>
          <w:spacing w:val="15"/>
        </w:rPr>
        <w:t> </w:t>
      </w:r>
      <w:r>
        <w:rPr>
          <w:color w:val="6E6158"/>
        </w:rPr>
        <w:t>Scope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Practice,”</w:t>
      </w:r>
      <w:r>
        <w:rPr>
          <w:color w:val="6E6158"/>
          <w:spacing w:val="15"/>
        </w:rPr>
        <w:t> </w:t>
      </w:r>
      <w:r>
        <w:rPr>
          <w:color w:val="6E6158"/>
        </w:rPr>
        <w:t>JD</w:t>
      </w:r>
      <w:r>
        <w:rPr>
          <w:color w:val="6E6158"/>
          <w:spacing w:val="14"/>
        </w:rPr>
        <w:t> </w:t>
      </w:r>
      <w:r>
        <w:rPr>
          <w:color w:val="6E6158"/>
        </w:rPr>
        <w:t>Supra,</w:t>
      </w:r>
      <w:r>
        <w:rPr>
          <w:color w:val="6E6158"/>
          <w:spacing w:val="14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</w:rPr>
        <w:t>9,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left="351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230604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862pt;width:1.65pt;height:1.65pt;mso-position-horizontal-relative:page;mso-position-vertical-relative:paragraph;z-index:15738880" id="docshape3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CalAIM Initiative on Enhanced Care Management and Community </w:t>
      </w:r>
      <w:r>
        <w:rPr>
          <w:color w:val="6E6158"/>
        </w:rPr>
        <w:t>Supports, 2024 CSHA Annual Meeting and Spring SeminarLegal Update, May 3, 2024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235949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667pt;width:1.65pt;height:1.65pt;mso-position-horizontal-relative:page;mso-position-vertical-relative:paragraph;z-index:15739392" id="docshape3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CIGNA’s New CRNA Payment Policy Adds Fuel To The Fire, Coronis Health, October 27, </w:t>
      </w:r>
      <w:r>
        <w:rPr>
          <w:color w:val="6E6158"/>
          <w:spacing w:val="-4"/>
        </w:rPr>
        <w:t>2023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168089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5374pt;width:1.65pt;height:1.65pt;mso-position-horizontal-relative:page;mso-position-vertical-relative:paragraph;z-index:15739904" id="docshape35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5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Stars,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Litigation,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Health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Care,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ERISA,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184246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7582pt;width:1.65pt;height:1.65pt;mso-position-horizontal-relative:page;mso-position-vertical-relative:paragraph;z-index:15740416" id="docshape3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80"/>
        <w:ind w:left="351" w:right="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266570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9813pt;width:1.65pt;height:1.65pt;mso-position-horizontal-relative:page;mso-position-vertical-relative:paragraph;z-index:15740928" id="docshape37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Interest Group (Nursing and Allied Health Professionals), American </w:t>
      </w:r>
      <w:r>
        <w:rPr>
          <w:color w:val="6E6158"/>
        </w:rPr>
        <w:t>Bar Association,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157952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88pt;width:1.65pt;height:1.65pt;mso-position-horizontal-relative:page;mso-position-vertical-relative:paragraph;z-index:15741440" id="docshape3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Nursing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Allied</w:t>
      </w:r>
      <w:r>
        <w:rPr>
          <w:color w:val="6E6158"/>
          <w:spacing w:val="11"/>
        </w:rPr>
        <w:t> </w:t>
      </w:r>
      <w:r>
        <w:rPr>
          <w:color w:val="6E6158"/>
        </w:rPr>
        <w:t>Healthcare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Professionals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119pt;width:1.65pt;height:1.65pt;mso-position-horizontal-relative:page;mso-position-vertical-relative:paragraph;z-index:15741952" id="docshape3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fresno/" TargetMode="External"/><Relationship Id="rId11" Type="http://schemas.openxmlformats.org/officeDocument/2006/relationships/hyperlink" Target="mailto:kbowles@fennemorelaw.com" TargetMode="External"/><Relationship Id="rId12" Type="http://schemas.openxmlformats.org/officeDocument/2006/relationships/hyperlink" Target="https://www.fennemorelaw.com/u-s-healthcare-in-obbba-a-patchwork-of-big-changes/" TargetMode="External"/><Relationship Id="rId13" Type="http://schemas.openxmlformats.org/officeDocument/2006/relationships/hyperlink" Target="https://www.fennemorelaw.com/federal-and-californias-shared-interest-in-promoting-open-competition-isnt-it-ironic/" TargetMode="External"/><Relationship Id="rId14" Type="http://schemas.openxmlformats.org/officeDocument/2006/relationships/hyperlink" Target="https://www.fennemorelaw.com/californias-bold-experiment-with-whole-person-centered-care-has-it-worked/" TargetMode="External"/><Relationship Id="rId15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A. Bowles - Fennemore</dc:title>
  <dcterms:created xsi:type="dcterms:W3CDTF">2026-03-31T23:34:25Z</dcterms:created>
  <dcterms:modified xsi:type="dcterms:W3CDTF">2026-03-31T23:34:25Z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2026-03-31T00:00:00Z</vt:filetime>
  </property>
  <property fmtid="{D5CDD505-2E9C-101B-9397-08002B2CF9AE}" pid="5" name="Producer">
    <vt:lpwstr>Skia/PDF m142</vt:lpwstr>
  </property>
</Properties>
</file>