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ggie DiCostanz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2" w:right="37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MAGGIE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DICOSTANZO</w:t>
                              </w:r>
                            </w:p>
                            <w:p>
                              <w:pPr>
                                <w:spacing w:before="48"/>
                                <w:ind w:left="372" w:right="3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2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mdicostanzo@fennemorelaw.com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ggie DiCostanz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2" w:right="37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MAGGIE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DICOSTANZO</w:t>
                        </w:r>
                      </w:p>
                      <w:p>
                        <w:pPr>
                          <w:spacing w:before="48"/>
                          <w:ind w:left="372" w:right="3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2" w:right="3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mdicostanzo@fennemorelaw.com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MAGGIE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DICOSTANZO</w:t>
      </w:r>
    </w:p>
    <w:p>
      <w:pPr>
        <w:pStyle w:val="BodyText"/>
        <w:spacing w:line="297" w:lineRule="auto"/>
        <w:ind w:left="99" w:right="702"/>
      </w:pPr>
      <w:r>
        <w:rPr>
          <w:color w:val="6E6158"/>
        </w:rPr>
        <w:t>Maggie</w:t>
      </w:r>
      <w:r>
        <w:rPr>
          <w:color w:val="6E6158"/>
          <w:spacing w:val="29"/>
        </w:rPr>
        <w:t> </w:t>
      </w:r>
      <w:r>
        <w:rPr>
          <w:color w:val="6E6158"/>
        </w:rPr>
        <w:t>DiCostanzo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Director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Finance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Group,</w:t>
        </w:r>
      </w:hyperlink>
      <w:r>
        <w:rPr>
          <w:color w:val="F5821F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brings more than two decades of experience guiding clients through the complex world of health care</w:t>
      </w:r>
      <w:r>
        <w:rPr>
          <w:color w:val="6E6158"/>
          <w:spacing w:val="40"/>
        </w:rPr>
        <w:t> </w:t>
      </w:r>
      <w:r>
        <w:rPr>
          <w:color w:val="6E6158"/>
        </w:rPr>
        <w:t>and intellectual property law.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Maggie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advisor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physicians,</w:t>
      </w:r>
      <w:r>
        <w:rPr>
          <w:color w:val="6E6158"/>
          <w:spacing w:val="31"/>
        </w:rPr>
        <w:t> </w:t>
      </w:r>
      <w:r>
        <w:rPr>
          <w:color w:val="6E6158"/>
        </w:rPr>
        <w:t>hospitals,</w:t>
      </w:r>
      <w:r>
        <w:rPr>
          <w:color w:val="6E6158"/>
          <w:spacing w:val="31"/>
        </w:rPr>
        <w:t> </w:t>
      </w:r>
      <w:r>
        <w:rPr>
          <w:color w:val="6E6158"/>
        </w:rPr>
        <w:t>post-acute</w:t>
      </w:r>
      <w:r>
        <w:rPr>
          <w:color w:val="6E6158"/>
          <w:spacing w:val="31"/>
        </w:rPr>
        <w:t> </w:t>
      </w:r>
      <w:r>
        <w:rPr>
          <w:color w:val="6E6158"/>
        </w:rPr>
        <w:t>care</w:t>
      </w:r>
      <w:r>
        <w:rPr>
          <w:color w:val="6E6158"/>
          <w:spacing w:val="31"/>
        </w:rPr>
        <w:t> </w:t>
      </w:r>
      <w:r>
        <w:rPr>
          <w:color w:val="6E6158"/>
        </w:rPr>
        <w:t>facilities,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 healthcare providers, helping them navigate regulatory compliance, administrative challenges,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and transactions such as the purchase and sale of medical entities. She also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38"/>
        </w:rPr>
        <w:t> </w:t>
      </w:r>
      <w:r>
        <w:rPr>
          <w:color w:val="6E6158"/>
        </w:rPr>
        <w:t>collaboratively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members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Fennmore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 w:before="2"/>
        <w:ind w:left="99"/>
      </w:pPr>
      <w:r>
        <w:rPr>
          <w:color w:val="6E6158"/>
        </w:rPr>
        <w:t>matters, and intellectual property matters. As a registered patent attorney with the U.S. Patent &amp;</w:t>
      </w:r>
      <w:r>
        <w:rPr>
          <w:color w:val="6E6158"/>
          <w:spacing w:val="40"/>
        </w:rPr>
        <w:t> </w:t>
      </w:r>
      <w:r>
        <w:rPr>
          <w:color w:val="6E6158"/>
        </w:rPr>
        <w:t>Trademark Office, she also helps clients protect their innovations – from drafting 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 to advising on trademarks and intellectual property strategy.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A dynamic speaker and author, Maggie has written extensively and presented to healthcare professionals nationwide on pressing issues like HIPAA compliance, telemedicine, reducing professional liability, and post-adverse event communication. Her thought leadership helped</w:t>
      </w:r>
      <w:r>
        <w:rPr>
          <w:color w:val="6E6158"/>
          <w:spacing w:val="40"/>
        </w:rPr>
        <w:t> </w:t>
      </w:r>
      <w:r>
        <w:rPr>
          <w:color w:val="6E6158"/>
        </w:rPr>
        <w:t>shape Pennsylvania’s </w:t>
      </w:r>
      <w:r>
        <w:rPr>
          <w:b/>
          <w:color w:val="6E6158"/>
        </w:rPr>
        <w:t>Benevolent Gesture Liability Act</w:t>
      </w:r>
      <w:r>
        <w:rPr>
          <w:color w:val="6E6158"/>
        </w:rPr>
        <w:t>, giving healthcare professionals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express</w:t>
      </w:r>
      <w:r>
        <w:rPr>
          <w:color w:val="6E6158"/>
          <w:spacing w:val="32"/>
        </w:rPr>
        <w:t> </w:t>
      </w:r>
      <w:r>
        <w:rPr>
          <w:color w:val="6E6158"/>
        </w:rPr>
        <w:t>compassion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patients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families</w:t>
      </w:r>
      <w:r>
        <w:rPr>
          <w:color w:val="6E6158"/>
          <w:spacing w:val="32"/>
        </w:rPr>
        <w:t> </w:t>
      </w:r>
      <w:r>
        <w:rPr>
          <w:color w:val="6E6158"/>
        </w:rPr>
        <w:t>without</w:t>
      </w:r>
      <w:r>
        <w:rPr>
          <w:color w:val="6E6158"/>
          <w:spacing w:val="32"/>
        </w:rPr>
        <w:t> </w:t>
      </w:r>
      <w:r>
        <w:rPr>
          <w:color w:val="6E6158"/>
        </w:rPr>
        <w:t>fear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repercussions.</w:t>
      </w:r>
    </w:p>
    <w:p>
      <w:pPr>
        <w:pStyle w:val="BodyText"/>
        <w:spacing w:line="297" w:lineRule="auto" w:before="195"/>
        <w:ind w:left="99" w:right="502"/>
      </w:pPr>
      <w:r>
        <w:rPr>
          <w:color w:val="6E6158"/>
        </w:rPr>
        <w:t>Beyond her practice, Maggie has shared her knowledge as an adjunct professor at Penn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York campus, teaching continuing education students about assisted living and</w:t>
      </w:r>
      <w:r>
        <w:rPr>
          <w:color w:val="6E6158"/>
          <w:spacing w:val="80"/>
        </w:rPr>
        <w:t> </w:t>
      </w:r>
      <w:r>
        <w:rPr>
          <w:color w:val="6E6158"/>
        </w:rPr>
        <w:t>personal</w:t>
      </w:r>
      <w:r>
        <w:rPr>
          <w:color w:val="6E6158"/>
          <w:spacing w:val="19"/>
        </w:rPr>
        <w:t> </w:t>
      </w:r>
      <w:r>
        <w:rPr>
          <w:color w:val="6E6158"/>
        </w:rPr>
        <w:t>home</w:t>
      </w:r>
      <w:r>
        <w:rPr>
          <w:color w:val="6E6158"/>
          <w:spacing w:val="19"/>
        </w:rPr>
        <w:t> </w:t>
      </w:r>
      <w:r>
        <w:rPr>
          <w:color w:val="6E6158"/>
        </w:rPr>
        <w:t>care</w:t>
      </w:r>
      <w:r>
        <w:rPr>
          <w:color w:val="6E6158"/>
          <w:spacing w:val="19"/>
        </w:rPr>
        <w:t> </w:t>
      </w:r>
      <w:r>
        <w:rPr>
          <w:color w:val="6E6158"/>
        </w:rPr>
        <w:t>facility</w:t>
      </w:r>
      <w:r>
        <w:rPr>
          <w:color w:val="6E6158"/>
          <w:spacing w:val="19"/>
        </w:rPr>
        <w:t> </w:t>
      </w:r>
      <w:r>
        <w:rPr>
          <w:color w:val="6E6158"/>
        </w:rPr>
        <w:t>regulations.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deeply</w:t>
      </w:r>
      <w:r>
        <w:rPr>
          <w:color w:val="6E6158"/>
          <w:spacing w:val="19"/>
        </w:rPr>
        <w:t> </w:t>
      </w:r>
      <w:r>
        <w:rPr>
          <w:color w:val="6E6158"/>
        </w:rPr>
        <w:t>committed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service: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as a juror for the Pennsylvania Bar Association’s Mock Trial Program and providing pro bono support</w:t>
      </w:r>
      <w:r>
        <w:rPr>
          <w:color w:val="6E6158"/>
          <w:spacing w:val="80"/>
        </w:rPr>
        <w:t> </w:t>
      </w:r>
      <w:r>
        <w:rPr>
          <w:color w:val="6E6158"/>
        </w:rPr>
        <w:t>to Afghan asylum seekers and pardon project participants. She also volunteers with a local</w:t>
      </w:r>
      <w:r>
        <w:rPr>
          <w:color w:val="6E6158"/>
          <w:spacing w:val="40"/>
        </w:rPr>
        <w:t> </w:t>
      </w:r>
      <w:r>
        <w:rPr>
          <w:color w:val="6E6158"/>
        </w:rPr>
        <w:t>community cat rescue and foster program.</w:t>
      </w:r>
    </w:p>
    <w:p>
      <w:pPr>
        <w:pStyle w:val="BodyText"/>
        <w:spacing w:line="292" w:lineRule="auto" w:before="187"/>
        <w:ind w:left="99" w:right="702"/>
      </w:pPr>
      <w:r>
        <w:rPr>
          <w:color w:val="6E6158"/>
        </w:rPr>
        <w:t>Whether she is advising a hospital system, safeguarding a new medical device innovation, or</w:t>
      </w:r>
      <w:r>
        <w:rPr>
          <w:color w:val="6E6158"/>
          <w:spacing w:val="40"/>
        </w:rPr>
        <w:t> </w:t>
      </w:r>
      <w:r>
        <w:rPr>
          <w:color w:val="6E6158"/>
        </w:rPr>
        <w:t>mentoring the next generation of legal professionals, Maggie brings both legal precision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passion for problem-solving to every client relationship.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152757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153pt;width:1.65pt;height:1.65pt;mso-position-horizontal-relative:page;mso-position-vertical-relative:paragraph;z-index:15729152" id="docshape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Widener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175019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063pt;width:1.65pt;height:1.65pt;mso-position-horizontal-relative:page;mso-position-vertical-relative:paragraph;z-index:15729664" id="docshape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4"/>
        </w:rPr>
        <w:t> </w:t>
      </w:r>
      <w:r>
        <w:rPr>
          <w:color w:val="6E6158"/>
        </w:rPr>
        <w:t>Pennsylvania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/>
        <w:ind w:right="7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0688" id="docshape1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634pt;width:1.65pt;height:1.65pt;mso-position-horizontal-relative:page;mso-position-vertical-relative:paragraph;z-index:15731200" id="docshape1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Health Care Intellectual </w:t>
      </w:r>
      <w:r>
        <w:rPr>
          <w:color w:val="6E6158"/>
        </w:rPr>
        <w:t>Property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/>
        <w:ind w:right="1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157749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233pt;width:1.65pt;height:1.65pt;mso-position-horizontal-relative:page;mso-position-vertical-relative:paragraph;z-index:1573171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416115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984pt;width:1.65pt;height:1.65pt;mso-position-horizontal-relative:page;mso-position-vertical-relative:paragraph;z-index:1573222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of six (6) senior living facilities in </w:t>
      </w:r>
      <w:r>
        <w:rPr>
          <w:color w:val="6E6158"/>
        </w:rPr>
        <w:t>Pennsylvania. Negotiated settlement of Medicaid fraud allegations against a dentist.</w:t>
      </w:r>
    </w:p>
    <w:p>
      <w:pPr>
        <w:pStyle w:val="BodyText"/>
        <w:spacing w:line="420" w:lineRule="auto" w:before="6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63395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780pt;width:1.65pt;height:1.65pt;mso-position-horizontal-relative:page;mso-position-vertical-relative:paragraph;z-index:15732736" id="docshape1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321761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527pt;width:1.65pt;height:1.65pt;mso-position-horizontal-relative:page;mso-position-vertical-relative:paragraph;z-index:15733248" id="docshape15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therapists in federal healthcare reimbursement program appeals. Represented</w:t>
      </w:r>
      <w:r>
        <w:rPr>
          <w:color w:val="6E6158"/>
          <w:spacing w:val="18"/>
        </w:rPr>
        <w:t> </w:t>
      </w:r>
      <w:r>
        <w:rPr>
          <w:color w:val="6E6158"/>
        </w:rPr>
        <w:t>physicians</w:t>
      </w:r>
      <w:r>
        <w:rPr>
          <w:color w:val="6E6158"/>
          <w:spacing w:val="18"/>
        </w:rPr>
        <w:t> </w:t>
      </w:r>
      <w:r>
        <w:rPr>
          <w:color w:val="6E6158"/>
        </w:rPr>
        <w:t>before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medicine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disciplinary</w:t>
      </w:r>
      <w:r>
        <w:rPr>
          <w:color w:val="6E6158"/>
          <w:spacing w:val="18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0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151588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6073pt;width:1.65pt;height:1.65pt;mso-position-horizontal-relative:page;mso-position-vertical-relative:paragraph;z-index:15733760" id="docshape16" coordorigin="1670,239" coordsize="33,33" path="m1691,271l1682,271,1678,270,1671,263,1670,259,1670,251,1671,247,1678,240,1682,239,1691,239,1694,240,1701,247,1702,251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joint venture agreement documents for a Pennsylvania practice </w:t>
      </w:r>
      <w:r>
        <w:rPr>
          <w:color w:val="6E6158"/>
        </w:rPr>
        <w:t>involving multiple dialysis centers.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235038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06952pt;width:1.65pt;height:1.65pt;mso-position-horizontal-relative:page;mso-position-vertical-relative:paragraph;z-index:15734272" id="docshape17" coordorigin="1670,370" coordsize="33,33" path="m1691,403l1682,403,1678,401,1671,395,1670,391,1670,382,1671,378,1678,372,1682,370,1691,370,1694,372,1701,378,1702,382,1702,386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multi-practice pain management group in health benefit </w:t>
      </w:r>
      <w:r>
        <w:rPr>
          <w:color w:val="6E6158"/>
        </w:rPr>
        <w:t>reimbursement </w:t>
      </w:r>
      <w:r>
        <w:rPr>
          <w:color w:val="6E6158"/>
          <w:spacing w:val="-2"/>
        </w:rPr>
        <w:t>appeals.</w:t>
      </w:r>
    </w:p>
    <w:p>
      <w:pPr>
        <w:pStyle w:val="BodyText"/>
        <w:spacing w:line="292" w:lineRule="auto"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230769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866pt;width:1.65pt;height:1.65pt;mso-position-horizontal-relative:page;mso-position-vertical-relative:paragraph;z-index:15734784" id="docshape1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healthcare providers involved in HIPAA data breaches and supported their </w:t>
      </w:r>
      <w:r>
        <w:rPr>
          <w:color w:val="6E6158"/>
        </w:rPr>
        <w:t>initial investigations and reporting.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416971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2397pt;width:1.65pt;height:1.65pt;mso-position-horizontal-relative:page;mso-position-vertical-relative:paragraph;z-index:15735296" id="docshape19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vendor contract agreements for a hospital system, including a Master </w:t>
      </w:r>
      <w:r>
        <w:rPr>
          <w:color w:val="6E6158"/>
        </w:rPr>
        <w:t>Vendor Purchase Agreement, consignment agreements, evaluation agreements, affiliation agreements,</w:t>
      </w:r>
      <w:r>
        <w:rPr>
          <w:color w:val="6E6158"/>
          <w:spacing w:val="40"/>
        </w:rPr>
        <w:t> </w:t>
      </w:r>
      <w:r>
        <w:rPr>
          <w:color w:val="6E6158"/>
        </w:rPr>
        <w:t>MOUs,</w:t>
      </w:r>
      <w:r>
        <w:rPr>
          <w:color w:val="6E6158"/>
          <w:spacing w:val="40"/>
        </w:rPr>
        <w:t> </w:t>
      </w:r>
      <w:r>
        <w:rPr>
          <w:color w:val="6E6158"/>
        </w:rPr>
        <w:t>clinical</w:t>
      </w:r>
      <w:r>
        <w:rPr>
          <w:color w:val="6E6158"/>
          <w:spacing w:val="40"/>
        </w:rPr>
        <w:t> </w:t>
      </w:r>
      <w:r>
        <w:rPr>
          <w:color w:val="6E6158"/>
        </w:rPr>
        <w:t>affiliation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right="0"/>
      </w:pPr>
      <w:r>
        <w:rPr>
          <w:color w:val="6E6158"/>
        </w:rPr>
        <w:t>independent</w:t>
      </w:r>
      <w:r>
        <w:rPr>
          <w:color w:val="6E6158"/>
          <w:spacing w:val="17"/>
        </w:rPr>
        <w:t> </w:t>
      </w:r>
      <w:r>
        <w:rPr>
          <w:color w:val="6E6158"/>
        </w:rPr>
        <w:t>contractor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standardize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throughout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system.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6"/>
        <w:ind w:right="2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152338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118pt;width:1.65pt;height:1.65pt;mso-position-horizontal-relative:page;mso-position-vertical-relative:paragraph;z-index:15735808" id="docshape20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415870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5708pt;width:1.65pt;height:1.65pt;mso-position-horizontal-relative:page;mso-position-vertical-relative:paragraph;z-index:15736320" id="docshape21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Member, County Domestic Violence </w:t>
      </w:r>
      <w:r>
        <w:rPr>
          <w:color w:val="6E6158"/>
        </w:rPr>
        <w:t>Intervention Member, Pennsylvania Bar Association</w:t>
      </w:r>
    </w:p>
    <w:p>
      <w:pPr>
        <w:pStyle w:val="BodyText"/>
        <w:spacing w:line="427" w:lineRule="auto" w:before="0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63785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509pt;width:1.65pt;height:1.65pt;mso-position-horizontal-relative:page;mso-position-vertical-relative:paragraph;z-index:15736832" id="docshape2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322151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6253pt;width:1.65pt;height:1.65pt;mso-position-horizontal-relative:page;mso-position-vertical-relative:paragraph;z-index:15737344" id="docshape23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 Member, Lebanon County Bar </w:t>
      </w:r>
      <w:r>
        <w:rPr>
          <w:color w:val="6E6158"/>
        </w:rPr>
        <w:t>Association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53900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4165pt;width:1.65pt;height:1.65pt;mso-position-horizontal-relative:page;mso-position-vertical-relative:paragraph;z-index:15737856" id="docshape24" coordorigin="1670,85" coordsize="33,33" path="m1691,117l1682,117,1678,116,1671,109,1670,106,1670,97,1671,93,1678,86,1682,85,1691,85,1694,86,1701,93,1702,97,1702,101,1702,106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3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245978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842pt;width:1.65pt;height:1.65pt;mso-position-horizontal-relative:page;mso-position-vertical-relative:paragraph;z-index:15738368" id="docshape25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236083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273pt;width:1.65pt;height:1.65pt;mso-position-horizontal-relative:page;mso-position-vertical-relative:paragraph;z-index:15738880" id="docshape2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Chapter 2: Contracts and Negotiations,</w:t>
      </w:r>
      <w:r>
        <w:rPr>
          <w:color w:val="6E6158"/>
          <w:spacing w:val="40"/>
        </w:rPr>
        <w:t> </w:t>
      </w:r>
      <w:r>
        <w:rPr>
          <w:color w:val="6E6158"/>
        </w:rPr>
        <w:t>Healthcare Administration, </w:t>
      </w:r>
      <w:r>
        <w:rPr>
          <w:color w:val="6E6158"/>
        </w:rPr>
        <w:t>Leadership, and Management (HALM): The Essentials, First Edition, April 18,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235712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057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“AI in Managed Care: Legal Uses and Abuses”, American Health </w:t>
      </w:r>
      <w:r>
        <w:rPr>
          <w:color w:val="6E6158"/>
        </w:rPr>
        <w:t>Law Association, Orlando, FL, February 5,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221pt;width:1.65pt;height:1.65pt;mso-position-horizontal-relative:page;mso-position-vertical-relative:paragraph;z-index:15739904" id="docshape2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Fatigue and Safety. P. Weiss &amp; P. Gluck (Authors) &amp; T. Ivester (Ed.), Quality and Safety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Women’s</w:t>
      </w:r>
      <w:r>
        <w:rPr>
          <w:color w:val="6E6158"/>
          <w:spacing w:val="36"/>
        </w:rPr>
        <w:t> </w:t>
      </w:r>
      <w:r>
        <w:rPr>
          <w:color w:val="6E6158"/>
        </w:rPr>
        <w:t>Health</w:t>
      </w:r>
      <w:r>
        <w:rPr>
          <w:color w:val="6E6158"/>
          <w:spacing w:val="36"/>
        </w:rPr>
        <w:t> </w:t>
      </w:r>
      <w:r>
        <w:rPr>
          <w:color w:val="6E6158"/>
        </w:rPr>
        <w:t>(pp.</w:t>
      </w:r>
      <w:r>
        <w:rPr>
          <w:color w:val="6E6158"/>
          <w:spacing w:val="36"/>
        </w:rPr>
        <w:t> </w:t>
      </w:r>
      <w:r>
        <w:rPr>
          <w:color w:val="6E6158"/>
        </w:rPr>
        <w:t>144-148).</w:t>
      </w:r>
      <w:r>
        <w:rPr>
          <w:color w:val="6E6158"/>
          <w:spacing w:val="36"/>
        </w:rPr>
        <w:t> </w:t>
      </w:r>
      <w:r>
        <w:rPr>
          <w:color w:val="6E6158"/>
        </w:rPr>
        <w:t>Cambridge:</w:t>
      </w:r>
      <w:r>
        <w:rPr>
          <w:color w:val="6E6158"/>
          <w:spacing w:val="36"/>
        </w:rPr>
        <w:t> </w:t>
      </w:r>
      <w:r>
        <w:rPr>
          <w:color w:val="6E6158"/>
        </w:rPr>
        <w:t>Cambridge</w:t>
      </w:r>
      <w:r>
        <w:rPr>
          <w:color w:val="6E6158"/>
          <w:spacing w:val="36"/>
        </w:rPr>
        <w:t> </w:t>
      </w:r>
      <w:r>
        <w:rPr>
          <w:color w:val="6E6158"/>
        </w:rPr>
        <w:t>University</w:t>
      </w:r>
      <w:r>
        <w:rPr>
          <w:color w:val="6E6158"/>
          <w:spacing w:val="36"/>
        </w:rPr>
        <w:t> </w:t>
      </w:r>
      <w:r>
        <w:rPr>
          <w:color w:val="6E6158"/>
        </w:rPr>
        <w:t>Press,</w:t>
      </w:r>
      <w:r>
        <w:rPr>
          <w:color w:val="6E6158"/>
          <w:spacing w:val="36"/>
        </w:rPr>
        <w:t> </w:t>
      </w:r>
      <w:r>
        <w:rPr>
          <w:color w:val="6E6158"/>
        </w:rPr>
        <w:t>2018</w:t>
      </w:r>
    </w:p>
    <w:p>
      <w:pPr>
        <w:pStyle w:val="BodyText"/>
        <w:spacing w:line="297" w:lineRule="auto" w:before="123"/>
        <w:ind w:right="4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323595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9996pt;width:1.65pt;height:1.65pt;mso-position-horizontal-relative:page;mso-position-vertical-relative:paragraph;z-index:15740416" id="docshape29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“Redefining the ‘Legal Medical Record’ and How to Be Prepared to Respond to Legal Requests for a Patient’s Legal Medical Record.” J. of Medical Practice Management. Summer </w:t>
      </w:r>
      <w:r>
        <w:rPr>
          <w:color w:val="6E6158"/>
          <w:spacing w:val="-4"/>
        </w:rPr>
        <w:t>2017</w:t>
      </w:r>
    </w:p>
    <w:p>
      <w:pPr>
        <w:pStyle w:val="BodyText"/>
        <w:spacing w:after="0" w:line="297" w:lineRule="auto"/>
        <w:jc w:val="both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7" w:lineRule="auto" w:before="83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40928" id="docshape30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“Operation Five-Star: Service Excellence in the Medical Practice – </w:t>
      </w:r>
      <w:r>
        <w:rPr>
          <w:color w:val="6E6158"/>
        </w:rPr>
        <w:t>cultural competency, post-adverse events, and patient engagement.” Book- Greenbranch Publishing, 2014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41440" id="docshape31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“Sorry Works! 2.0 Disclosure, Apology and Relationships Prevent </w:t>
      </w:r>
      <w:r>
        <w:rPr>
          <w:color w:val="6E6158"/>
        </w:rPr>
        <w:t>Medical Malpractice Claims.” (1ST edition 2007) (2d edition 2010) Book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41952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Co-authored with Press Ganey staff: Stefoni A. Bavin, and Sarah Stawiski, “Reduce Liability Risk</w:t>
      </w:r>
      <w:r>
        <w:rPr>
          <w:color w:val="6E6158"/>
          <w:spacing w:val="40"/>
        </w:rPr>
        <w:t> </w:t>
      </w:r>
      <w:r>
        <w:rPr>
          <w:color w:val="6E6158"/>
        </w:rPr>
        <w:t>by Improving Your Patient Satisfaction.” Press Ganey, Jul. 2008</w:t>
      </w:r>
    </w:p>
    <w:p>
      <w:pPr>
        <w:pStyle w:val="BodyText"/>
        <w:spacing w:line="292" w:lineRule="auto" w:before="112"/>
        <w:ind w:righ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316941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6009pt;width:1.65pt;height:1.65pt;mso-position-horizontal-relative:page;mso-position-vertical-relative:paragraph;z-index:15742464" id="docshape33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Consequences on the End of the COVID Public Health Emergency on Tele-Behavioral Health”, MyLawCLE webinar, sponsored by the Federal Bar Association, April </w:t>
      </w:r>
      <w:r>
        <w:rPr>
          <w:color w:val="6E6158"/>
        </w:rPr>
        <w:t>18,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6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329658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57354pt;width:1.65pt;height:1.65pt;mso-position-horizontal-relative:page;mso-position-vertical-relative:paragraph;z-index:15742976" id="docshape34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“Working Group on Overcoming the Challenge Associated with Electronic Medical Records, Patient Portals and Audit Trails in Obstetrics Practice”, ACI’s 17th Annual Advanced Forum on Obstetric Malpractice Claims, co-presenter, Jun. 26, 2018, Philadelphia, PA</w:t>
      </w:r>
    </w:p>
    <w:p>
      <w:pPr>
        <w:pStyle w:val="BodyText"/>
        <w:spacing w:line="297" w:lineRule="auto" w:before="124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324508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1825pt;width:1.65pt;height:1.65pt;mso-position-horizontal-relative:page;mso-position-vertical-relative:paragraph;z-index:15743488" id="docshape35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“Proactively Mitigate HIPAA Data Breach Costs in the Healthcare Setting”, Healthcare Financial Management Association Educational Seminar, Central Pa. </w:t>
      </w:r>
      <w:r>
        <w:rPr>
          <w:color w:val="6E6158"/>
        </w:rPr>
        <w:t>Chapter, Nov. 5, 2015, Enola, PA</w:t>
      </w:r>
    </w:p>
    <w:p>
      <w:pPr>
        <w:pStyle w:val="BodyText"/>
        <w:spacing w:line="30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232883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7301pt;width:1.65pt;height:1.65pt;mso-position-horizontal-relative:page;mso-position-vertical-relative:paragraph;z-index:15744000" id="docshape36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“Documentation and Event Management”, Educational presentation for </w:t>
      </w:r>
      <w:r>
        <w:rPr>
          <w:color w:val="6E6158"/>
        </w:rPr>
        <w:t>Willow Valley Retirement Communities Staff, Jun. 10, 2015, Willow Valley Retirement Community</w:t>
      </w:r>
    </w:p>
    <w:p>
      <w:pPr>
        <w:pStyle w:val="BodyText"/>
        <w:spacing w:line="292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224402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489pt;width:1.65pt;height:1.65pt;mso-position-horizontal-relative:page;mso-position-vertical-relative:paragraph;z-index:15744512" id="docshape3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Basics of Pennsylvania’s Advance Directives for Post-Acute Facilities and </w:t>
      </w:r>
      <w:r>
        <w:rPr>
          <w:color w:val="6E6158"/>
        </w:rPr>
        <w:t>Staff”, Pennsylvania Health Care Association, Webinar, May 19, 2015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236097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366pt;width:1.65pt;height:1.65pt;mso-position-horizontal-relative:page;mso-position-vertical-relative:paragraph;z-index:15745024" id="docshape3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“Professionalism in a Changing Workplace: Strategies for Avoiding and </w:t>
      </w:r>
      <w:r>
        <w:rPr>
          <w:color w:val="6E6158"/>
        </w:rPr>
        <w:t>Managing Conduct Reviews”, Am. Coll. of Obstetricians &amp; Gynecologists Webinar, March 10, 2015</w:t>
      </w:r>
    </w:p>
    <w:p>
      <w:pPr>
        <w:pStyle w:val="BodyText"/>
        <w:spacing w:line="292" w:lineRule="auto" w:before="113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224438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358pt;width:1.65pt;height:1.65pt;mso-position-horizontal-relative:page;mso-position-vertical-relative:paragraph;z-index:15745536" id="docshape3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“Reducing your Professional Liability Risk and Enhancing your Practice”, </w:t>
      </w:r>
      <w:r>
        <w:rPr>
          <w:color w:val="6E6158"/>
        </w:rPr>
        <w:t>American College of Surgeons Surgery Resident Program, Oct. 27, 2014, San Francisco, CA</w:t>
      </w:r>
    </w:p>
    <w:p>
      <w:pPr>
        <w:pStyle w:val="Heading1"/>
        <w:spacing w:before="16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157636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359pt;width:1.65pt;height:1.65pt;mso-position-horizontal-relative:page;mso-position-vertical-relative:paragraph;z-index:15746048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175366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397pt;width:1.65pt;height:1.65pt;mso-position-horizontal-relative:page;mso-position-vertical-relative:paragraph;z-index:15746560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422" w:lineRule="auto" w:before="174"/>
        <w:ind w:right="2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308pt;width:1.65pt;height:1.65pt;mso-position-horizontal-relative:page;mso-position-vertical-relative:paragraph;z-index:15747072" id="docshape4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433769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075pt;width:1.65pt;height:1.65pt;mso-position-horizontal-relative:page;mso-position-vertical-relative:paragraph;z-index:15747584" id="docshape4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692134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8817pt;width:1.65pt;height:1.65pt;mso-position-horizontal-relative:page;mso-position-vertical-relative:paragraph;z-index:15748096" id="docshape44" coordorigin="1670,1090" coordsize="33,33" path="m1691,1123l1682,1123,1678,1121,1671,1115,1670,1111,1670,1102,1671,1098,1678,1092,1682,1090,1691,1090,1694,1092,1701,1098,1702,1102,1702,1106,1702,1111,1701,1115,1694,1121,1691,1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950500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4.842560pt;width:1.65pt;height:1.65pt;mso-position-horizontal-relative:page;mso-position-vertical-relative:paragraph;z-index:15748608" id="docshape45" coordorigin="1670,1497" coordsize="33,33" path="m1691,1529l1682,1529,1678,1528,1671,1521,1670,1518,1670,1509,1671,1505,1678,1498,1682,1497,1691,1497,1694,1498,1701,1505,1702,1509,1702,1513,1702,1518,1701,1521,1694,1528,1691,15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for the Middle District of Pennsylvania United States District Court for the Eastern District of Pennsylvania United States District Court for the Western District of </w:t>
      </w:r>
      <w:r>
        <w:rPr>
          <w:color w:val="6E6158"/>
        </w:rPr>
        <w:t>Pennsylvania United States Patent and Trademark Office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4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dicostanzo@fennemorelaw.com" TargetMode="External"/><Relationship Id="rId11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DiCostanzo - Fennemore</dc:title>
  <dcterms:created xsi:type="dcterms:W3CDTF">2026-03-16T15:38:37Z</dcterms:created>
  <dcterms:modified xsi:type="dcterms:W3CDTF">2026-03-16T15:38:37Z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2026-03-16T00:00:00Z</vt:filetime>
  </property>
  <property fmtid="{D5CDD505-2E9C-101B-9397-08002B2CF9AE}" pid="5" name="Producer">
    <vt:lpwstr>Skia/PDF m142</vt:lpwstr>
  </property>
</Properties>
</file>