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71"/>
        <w:rPr>
          <w:rFonts w:ascii="Times New Roman"/>
        </w:rPr>
      </w:pPr>
    </w:p>
    <w:p>
      <w:pPr>
        <w:pStyle w:val="BodyText"/>
        <w:spacing w:line="297" w:lineRule="auto"/>
        <w:ind w:left="9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-4828774</wp:posOffset>
                </wp:positionV>
                <wp:extent cx="6071870" cy="473646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4736465"/>
                          <a:chExt cx="6071870" cy="473646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3162395"/>
                            <a:ext cx="6071870" cy="1318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1318260">
                                <a:moveTo>
                                  <a:pt x="6071591" y="1317664"/>
                                </a:moveTo>
                                <a:lnTo>
                                  <a:pt x="0" y="1317664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13176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 descr="Nicholas Thompson 0047 Website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776417" y="763308"/>
                            <a:ext cx="1567815" cy="1099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6" w:lineRule="auto" w:before="40"/>
                                <w:ind w:left="-1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NICHOLAS</w:t>
                              </w:r>
                              <w:r>
                                <w:rPr>
                                  <w:color w:val="FFFFFF"/>
                                  <w:spacing w:val="-27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39"/>
                                </w:rPr>
                                <w:t>H.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THOMPSON</w:t>
                              </w:r>
                            </w:p>
                            <w:p>
                              <w:pPr>
                                <w:spacing w:before="48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&amp;</w:t>
                                </w:r>
                                <w:r>
                                  <w:rPr>
                                    <w:color w:val="FFFFFF"/>
                                    <w:spacing w:val="4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Finance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4372353" y="2133494"/>
                            <a:ext cx="37592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Denver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582320" y="2293650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303.813.3891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4750778" y="2293650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303.291.3201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3729104" y="2500373"/>
                            <a:ext cx="166243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nthompson@fennemorelaw.com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769929" y="3591029"/>
                            <a:ext cx="477520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“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1463641" y="3756030"/>
                            <a:ext cx="3160395" cy="307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"Do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what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you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can,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with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what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you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have,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where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you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are."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Theodore</w:t>
                              </w:r>
                            </w:p>
                            <w:p>
                              <w:pPr>
                                <w:spacing w:before="89"/>
                                <w:ind w:left="1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Roosevelt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129182" y="4548446"/>
                            <a:ext cx="1878964" cy="187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8100"/>
                                  <w:sz w:val="24"/>
                                </w:rPr>
                                <w:t>NICHOLAS</w:t>
                              </w:r>
                              <w:r>
                                <w:rPr>
                                  <w:b/>
                                  <w:color w:val="FF8100"/>
                                  <w:spacing w:val="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8100"/>
                                  <w:sz w:val="24"/>
                                </w:rPr>
                                <w:t>H.</w:t>
                              </w:r>
                              <w:r>
                                <w:rPr>
                                  <w:b/>
                                  <w:color w:val="FF8100"/>
                                  <w:spacing w:val="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8100"/>
                                  <w:spacing w:val="-2"/>
                                  <w:sz w:val="24"/>
                                </w:rPr>
                                <w:t>THOMPSON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4857434" y="3591029"/>
                            <a:ext cx="460375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”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380.218445pt;width:478.1pt;height:372.95pt;mso-position-horizontal-relative:page;mso-position-vertical-relative:paragraph;z-index:15728640" id="docshapegroup1" coordorigin="1336,-7604" coordsize="9562,7459">
                <v:rect style="position:absolute;left:1336;top:-2625;width:9562;height:2076" id="docshape2" filled="true" fillcolor="#002e6d" stroked="false">
                  <v:fill type="solid"/>
                </v:rect>
                <v:shape style="position:absolute;left:1336;top:-7605;width:2165;height:424" type="#_x0000_t75" id="docshape3" alt="Fennemore" href="https://www.fennemorelaw.com/" stroked="false">
                  <v:imagedata r:id="rId5" o:title=""/>
                </v:shape>
                <v:shape style="position:absolute;left:1336;top:-7182;width:4785;height:4557" type="#_x0000_t75" id="docshape4" alt="Nicholas Thompson 0047 Website" stroked="false">
                  <v:imagedata r:id="rId7" o:title=""/>
                </v:shape>
                <v:rect style="position:absolute;left:6121;top:-7182;width:4777;height:4557" id="docshape5" filled="true" fillcolor="#262424" stroked="false">
                  <v:fill type="solid"/>
                </v:rect>
                <v:shape style="position:absolute;left:6837;top:-5017;width:3337;height:505" id="docshape6" coordorigin="6837,-5017" coordsize="3337,505" path="m10174,-4520l6837,-4520,6837,-4512,10174,-4512,10174,-4520xm10174,-5017l6837,-5017,6837,-5008,10174,-5008,10174,-5017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283;top:-6403;width:2469;height:1731" type="#_x0000_t202" id="docshape7" filled="false" stroked="false">
                  <v:textbox inset="0,0,0,0">
                    <w:txbxContent>
                      <w:p>
                        <w:pPr>
                          <w:spacing w:line="216" w:lineRule="auto" w:before="40"/>
                          <w:ind w:left="-1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NICHOLAS</w:t>
                        </w:r>
                        <w:r>
                          <w:rPr>
                            <w:color w:val="FFFFFF"/>
                            <w:spacing w:val="-27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z w:val="39"/>
                          </w:rPr>
                          <w:t>H.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THOMPSON</w:t>
                        </w:r>
                      </w:p>
                      <w:p>
                        <w:pPr>
                          <w:spacing w:before="48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&amp;</w:t>
                          </w:r>
                          <w:r>
                            <w:rPr>
                              <w:color w:val="FFFFFF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Finance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221;top:-4245;width:592;height:200" type="#_x0000_t202" id="docshape8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Denver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77;top:-3993;width:1258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303.813.3891</w:t>
                        </w:r>
                      </w:p>
                    </w:txbxContent>
                  </v:textbox>
                  <w10:wrap type="none"/>
                </v:shape>
                <v:shape style="position:absolute;left:8817;top:-3993;width:1240;height:210" type="#_x0000_t202" id="docshape10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303.291.3201</w:t>
                        </w:r>
                      </w:p>
                    </w:txbxContent>
                  </v:textbox>
                  <w10:wrap type="none"/>
                </v:shape>
                <v:shape style="position:absolute;left:7208;top:-3667;width:2618;height:200" type="#_x0000_t202" id="docshape11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nthompson@fennemorelaw.com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2548;top:-1950;width:752;height:1786" type="#_x0000_t202" id="docshape12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“</w:t>
                        </w:r>
                      </w:p>
                    </w:txbxContent>
                  </v:textbox>
                  <w10:wrap type="none"/>
                </v:shape>
                <v:shape style="position:absolute;left:3641;top:-1690;width:4977;height:485" type="#_x0000_t202" id="docshape13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"Do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what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you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can,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with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what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you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have,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where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you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are."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Theodore</w:t>
                        </w:r>
                      </w:p>
                      <w:p>
                        <w:pPr>
                          <w:spacing w:before="89"/>
                          <w:ind w:left="1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Roosevelt</w:t>
                        </w:r>
                      </w:p>
                    </w:txbxContent>
                  </v:textbox>
                  <w10:wrap type="none"/>
                </v:shape>
                <v:shape style="position:absolute;left:1539;top:-442;width:2959;height:296" type="#_x0000_t202" id="docshape14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FF8100"/>
                            <w:sz w:val="24"/>
                          </w:rPr>
                          <w:t>NICHOLAS</w:t>
                        </w:r>
                        <w:r>
                          <w:rPr>
                            <w:b/>
                            <w:color w:val="FF8100"/>
                            <w:spacing w:val="8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FF8100"/>
                            <w:sz w:val="24"/>
                          </w:rPr>
                          <w:t>H.</w:t>
                        </w:r>
                        <w:r>
                          <w:rPr>
                            <w:b/>
                            <w:color w:val="FF8100"/>
                            <w:spacing w:val="8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FF8100"/>
                            <w:spacing w:val="-2"/>
                            <w:sz w:val="24"/>
                          </w:rPr>
                          <w:t>THOMPSON</w:t>
                        </w:r>
                      </w:p>
                    </w:txbxContent>
                  </v:textbox>
                  <w10:wrap type="none"/>
                </v:shape>
                <v:shape style="position:absolute;left:8985;top:-1950;width:725;height:1786" type="#_x0000_t202" id="docshape15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”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6E6158"/>
        </w:rPr>
        <w:t>Nicholas Thompson is a seasoned mergers and acquisitions, business, tax, and trusts and estates</w:t>
      </w:r>
      <w:r>
        <w:rPr>
          <w:color w:val="6E6158"/>
          <w:spacing w:val="40"/>
        </w:rPr>
        <w:t> </w:t>
      </w:r>
      <w:r>
        <w:rPr>
          <w:color w:val="6E6158"/>
        </w:rPr>
        <w:t>attorney who counsels business owners, companies, and private investment funds through </w:t>
      </w:r>
      <w:r>
        <w:rPr>
          <w:color w:val="6E6158"/>
        </w:rPr>
        <w:t>every</w:t>
      </w:r>
      <w:r>
        <w:rPr>
          <w:color w:val="6E6158"/>
          <w:spacing w:val="40"/>
        </w:rPr>
        <w:t> </w:t>
      </w:r>
      <w:r>
        <w:rPr>
          <w:color w:val="6E6158"/>
        </w:rPr>
        <w:t>stage</w:t>
      </w:r>
      <w:r>
        <w:rPr>
          <w:color w:val="6E6158"/>
          <w:spacing w:val="29"/>
        </w:rPr>
        <w:t> </w:t>
      </w:r>
      <w:r>
        <w:rPr>
          <w:color w:val="6E6158"/>
        </w:rPr>
        <w:t>of</w:t>
      </w:r>
      <w:r>
        <w:rPr>
          <w:color w:val="6E6158"/>
          <w:spacing w:val="29"/>
        </w:rPr>
        <w:t> </w:t>
      </w:r>
      <w:r>
        <w:rPr>
          <w:color w:val="6E6158"/>
        </w:rPr>
        <w:t>the</w:t>
      </w:r>
      <w:r>
        <w:rPr>
          <w:color w:val="6E6158"/>
          <w:spacing w:val="29"/>
        </w:rPr>
        <w:t> </w:t>
      </w:r>
      <w:r>
        <w:rPr>
          <w:color w:val="6E6158"/>
        </w:rPr>
        <w:t>business</w:t>
      </w:r>
      <w:r>
        <w:rPr>
          <w:color w:val="6E6158"/>
          <w:spacing w:val="29"/>
        </w:rPr>
        <w:t> </w:t>
      </w:r>
      <w:r>
        <w:rPr>
          <w:color w:val="6E6158"/>
        </w:rPr>
        <w:t>lifecycle,</w:t>
      </w:r>
      <w:r>
        <w:rPr>
          <w:color w:val="6E6158"/>
          <w:spacing w:val="29"/>
        </w:rPr>
        <w:t> </w:t>
      </w:r>
      <w:r>
        <w:rPr>
          <w:color w:val="6E6158"/>
        </w:rPr>
        <w:t>with</w:t>
      </w:r>
      <w:r>
        <w:rPr>
          <w:color w:val="6E6158"/>
          <w:spacing w:val="29"/>
        </w:rPr>
        <w:t> </w:t>
      </w:r>
      <w:r>
        <w:rPr>
          <w:color w:val="6E6158"/>
        </w:rPr>
        <w:t>a</w:t>
      </w:r>
      <w:r>
        <w:rPr>
          <w:color w:val="6E6158"/>
          <w:spacing w:val="29"/>
        </w:rPr>
        <w:t> </w:t>
      </w:r>
      <w:r>
        <w:rPr>
          <w:color w:val="6E6158"/>
        </w:rPr>
        <w:t>distinct</w:t>
      </w:r>
      <w:r>
        <w:rPr>
          <w:color w:val="6E6158"/>
          <w:spacing w:val="29"/>
        </w:rPr>
        <w:t> </w:t>
      </w:r>
      <w:r>
        <w:rPr>
          <w:color w:val="6E6158"/>
        </w:rPr>
        <w:t>emphasis</w:t>
      </w:r>
      <w:r>
        <w:rPr>
          <w:color w:val="6E6158"/>
          <w:spacing w:val="29"/>
        </w:rPr>
        <w:t> </w:t>
      </w:r>
      <w:r>
        <w:rPr>
          <w:color w:val="6E6158"/>
        </w:rPr>
        <w:t>on</w:t>
      </w:r>
      <w:r>
        <w:rPr>
          <w:color w:val="6E6158"/>
          <w:spacing w:val="29"/>
        </w:rPr>
        <w:t> </w:t>
      </w:r>
      <w:r>
        <w:rPr>
          <w:color w:val="6E6158"/>
        </w:rPr>
        <w:t>business</w:t>
      </w:r>
      <w:r>
        <w:rPr>
          <w:color w:val="6E6158"/>
          <w:spacing w:val="29"/>
        </w:rPr>
        <w:t> </w:t>
      </w:r>
      <w:r>
        <w:rPr>
          <w:color w:val="6E6158"/>
        </w:rPr>
        <w:t>sales</w:t>
      </w:r>
      <w:r>
        <w:rPr>
          <w:color w:val="6E6158"/>
          <w:spacing w:val="29"/>
        </w:rPr>
        <w:t> </w:t>
      </w:r>
      <w:r>
        <w:rPr>
          <w:color w:val="6E6158"/>
        </w:rPr>
        <w:t>and</w:t>
      </w:r>
      <w:r>
        <w:rPr>
          <w:color w:val="6E6158"/>
          <w:spacing w:val="29"/>
        </w:rPr>
        <w:t> </w:t>
      </w:r>
      <w:r>
        <w:rPr>
          <w:color w:val="6E6158"/>
        </w:rPr>
        <w:t>succession</w:t>
      </w:r>
    </w:p>
    <w:p>
      <w:pPr>
        <w:pStyle w:val="BodyText"/>
        <w:spacing w:line="297" w:lineRule="auto"/>
        <w:ind w:left="99" w:right="254"/>
      </w:pPr>
      <w:r>
        <w:rPr>
          <w:color w:val="6E6158"/>
        </w:rPr>
        <w:t>planning. He is also Co-Chair of Fennemore’s </w:t>
      </w:r>
      <w:hyperlink r:id="rId11">
        <w:r>
          <w:rPr>
            <w:color w:val="F5821F"/>
          </w:rPr>
          <w:t>Mergers and Acquisitions</w:t>
        </w:r>
      </w:hyperlink>
      <w:r>
        <w:rPr>
          <w:color w:val="F5821F"/>
        </w:rPr>
        <w:t> </w:t>
      </w:r>
      <w:r>
        <w:rPr>
          <w:color w:val="6E6158"/>
        </w:rPr>
        <w:t>group. His </w:t>
      </w:r>
      <w:r>
        <w:rPr>
          <w:color w:val="6E6158"/>
        </w:rPr>
        <w:t>transactional</w:t>
      </w:r>
      <w:r>
        <w:rPr>
          <w:color w:val="6E6158"/>
          <w:spacing w:val="40"/>
        </w:rPr>
        <w:t> </w:t>
      </w:r>
      <w:r>
        <w:rPr>
          <w:color w:val="6E6158"/>
        </w:rPr>
        <w:t>practice is centered on seller-side M&amp;A representation, where he guides clients through the</w:t>
      </w:r>
      <w:r>
        <w:rPr>
          <w:color w:val="6E6158"/>
          <w:spacing w:val="40"/>
        </w:rPr>
        <w:t> </w:t>
      </w:r>
      <w:r>
        <w:rPr>
          <w:color w:val="6E6158"/>
        </w:rPr>
        <w:t>complexities</w:t>
      </w:r>
      <w:r>
        <w:rPr>
          <w:color w:val="6E6158"/>
          <w:spacing w:val="34"/>
        </w:rPr>
        <w:t> </w:t>
      </w:r>
      <w:r>
        <w:rPr>
          <w:color w:val="6E6158"/>
        </w:rPr>
        <w:t>of</w:t>
      </w:r>
      <w:r>
        <w:rPr>
          <w:color w:val="6E6158"/>
          <w:spacing w:val="34"/>
        </w:rPr>
        <w:t> </w:t>
      </w:r>
      <w:r>
        <w:rPr>
          <w:color w:val="6E6158"/>
        </w:rPr>
        <w:t>selling</w:t>
      </w:r>
      <w:r>
        <w:rPr>
          <w:color w:val="6E6158"/>
          <w:spacing w:val="34"/>
        </w:rPr>
        <w:t> </w:t>
      </w:r>
      <w:r>
        <w:rPr>
          <w:color w:val="6E6158"/>
        </w:rPr>
        <w:t>their</w:t>
      </w:r>
      <w:r>
        <w:rPr>
          <w:color w:val="6E6158"/>
          <w:spacing w:val="34"/>
        </w:rPr>
        <w:t> </w:t>
      </w:r>
      <w:r>
        <w:rPr>
          <w:color w:val="6E6158"/>
        </w:rPr>
        <w:t>businesses,</w:t>
      </w:r>
      <w:r>
        <w:rPr>
          <w:color w:val="6E6158"/>
          <w:spacing w:val="34"/>
        </w:rPr>
        <w:t> </w:t>
      </w:r>
      <w:r>
        <w:rPr>
          <w:color w:val="6E6158"/>
        </w:rPr>
        <w:t>from</w:t>
      </w:r>
      <w:r>
        <w:rPr>
          <w:color w:val="6E6158"/>
          <w:spacing w:val="34"/>
        </w:rPr>
        <w:t> </w:t>
      </w:r>
      <w:r>
        <w:rPr>
          <w:color w:val="6E6158"/>
        </w:rPr>
        <w:t>strategic</w:t>
      </w:r>
      <w:r>
        <w:rPr>
          <w:color w:val="6E6158"/>
          <w:spacing w:val="34"/>
        </w:rPr>
        <w:t> </w:t>
      </w:r>
      <w:r>
        <w:rPr>
          <w:color w:val="6E6158"/>
        </w:rPr>
        <w:t>preparation</w:t>
      </w:r>
      <w:r>
        <w:rPr>
          <w:color w:val="6E6158"/>
          <w:spacing w:val="34"/>
        </w:rPr>
        <w:t> </w:t>
      </w:r>
      <w:r>
        <w:rPr>
          <w:color w:val="6E6158"/>
        </w:rPr>
        <w:t>and</w:t>
      </w:r>
      <w:r>
        <w:rPr>
          <w:color w:val="6E6158"/>
          <w:spacing w:val="34"/>
        </w:rPr>
        <w:t> </w:t>
      </w:r>
      <w:r>
        <w:rPr>
          <w:color w:val="6E6158"/>
        </w:rPr>
        <w:t>due</w:t>
      </w:r>
      <w:r>
        <w:rPr>
          <w:color w:val="6E6158"/>
          <w:spacing w:val="34"/>
        </w:rPr>
        <w:t> </w:t>
      </w:r>
      <w:r>
        <w:rPr>
          <w:color w:val="6E6158"/>
        </w:rPr>
        <w:t>diligence</w:t>
      </w:r>
      <w:r>
        <w:rPr>
          <w:color w:val="6E6158"/>
          <w:spacing w:val="34"/>
        </w:rPr>
        <w:t> </w:t>
      </w:r>
      <w:r>
        <w:rPr>
          <w:color w:val="6E6158"/>
        </w:rPr>
        <w:t>to</w:t>
      </w:r>
    </w:p>
    <w:p>
      <w:pPr>
        <w:pStyle w:val="BodyText"/>
        <w:spacing w:line="229" w:lineRule="exact"/>
        <w:ind w:left="99"/>
      </w:pPr>
      <w:r>
        <w:rPr>
          <w:color w:val="6E6158"/>
        </w:rPr>
        <w:t>negotiation,</w:t>
      </w:r>
      <w:r>
        <w:rPr>
          <w:color w:val="6E6158"/>
          <w:spacing w:val="16"/>
        </w:rPr>
        <w:t> </w:t>
      </w:r>
      <w:r>
        <w:rPr>
          <w:color w:val="6E6158"/>
        </w:rPr>
        <w:t>tax</w:t>
      </w:r>
      <w:r>
        <w:rPr>
          <w:color w:val="6E6158"/>
          <w:spacing w:val="16"/>
        </w:rPr>
        <w:t> </w:t>
      </w:r>
      <w:r>
        <w:rPr>
          <w:color w:val="6E6158"/>
        </w:rPr>
        <w:t>structuring,</w:t>
      </w:r>
      <w:r>
        <w:rPr>
          <w:color w:val="6E6158"/>
          <w:spacing w:val="16"/>
        </w:rPr>
        <w:t> </w:t>
      </w:r>
      <w:r>
        <w:rPr>
          <w:color w:val="6E6158"/>
        </w:rPr>
        <w:t>closing,</w:t>
      </w:r>
      <w:r>
        <w:rPr>
          <w:color w:val="6E6158"/>
          <w:spacing w:val="17"/>
        </w:rPr>
        <w:t> </w:t>
      </w:r>
      <w:r>
        <w:rPr>
          <w:color w:val="6E6158"/>
        </w:rPr>
        <w:t>and</w:t>
      </w:r>
      <w:r>
        <w:rPr>
          <w:color w:val="6E6158"/>
          <w:spacing w:val="16"/>
        </w:rPr>
        <w:t> </w:t>
      </w:r>
      <w:r>
        <w:rPr>
          <w:color w:val="6E6158"/>
        </w:rPr>
        <w:t>post-closing</w:t>
      </w:r>
      <w:r>
        <w:rPr>
          <w:color w:val="6E6158"/>
          <w:spacing w:val="16"/>
        </w:rPr>
        <w:t> </w:t>
      </w:r>
      <w:r>
        <w:rPr>
          <w:color w:val="6E6158"/>
          <w:spacing w:val="-2"/>
        </w:rPr>
        <w:t>transitions.</w:t>
      </w:r>
    </w:p>
    <w:p>
      <w:pPr>
        <w:pStyle w:val="BodyText"/>
        <w:spacing w:before="10"/>
      </w:pPr>
    </w:p>
    <w:p>
      <w:pPr>
        <w:pStyle w:val="BodyText"/>
        <w:ind w:left="99"/>
      </w:pPr>
      <w:r>
        <w:rPr>
          <w:color w:val="6E6158"/>
        </w:rPr>
        <w:t>Nick’s</w:t>
      </w:r>
      <w:r>
        <w:rPr>
          <w:color w:val="6E6158"/>
          <w:spacing w:val="13"/>
        </w:rPr>
        <w:t> </w:t>
      </w:r>
      <w:r>
        <w:rPr>
          <w:color w:val="6E6158"/>
        </w:rPr>
        <w:t>clients</w:t>
      </w:r>
      <w:r>
        <w:rPr>
          <w:color w:val="6E6158"/>
          <w:spacing w:val="13"/>
        </w:rPr>
        <w:t> </w:t>
      </w:r>
      <w:r>
        <w:rPr>
          <w:color w:val="6E6158"/>
        </w:rPr>
        <w:t>span</w:t>
      </w:r>
      <w:r>
        <w:rPr>
          <w:color w:val="6E6158"/>
          <w:spacing w:val="14"/>
        </w:rPr>
        <w:t> </w:t>
      </w:r>
      <w:r>
        <w:rPr>
          <w:color w:val="6E6158"/>
        </w:rPr>
        <w:t>a</w:t>
      </w:r>
      <w:r>
        <w:rPr>
          <w:color w:val="6E6158"/>
          <w:spacing w:val="13"/>
        </w:rPr>
        <w:t> </w:t>
      </w:r>
      <w:r>
        <w:rPr>
          <w:color w:val="6E6158"/>
        </w:rPr>
        <w:t>wide</w:t>
      </w:r>
      <w:r>
        <w:rPr>
          <w:color w:val="6E6158"/>
          <w:spacing w:val="14"/>
        </w:rPr>
        <w:t> </w:t>
      </w:r>
      <w:r>
        <w:rPr>
          <w:color w:val="6E6158"/>
        </w:rPr>
        <w:t>spectrum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4"/>
        </w:rPr>
        <w:t> </w:t>
      </w:r>
      <w:r>
        <w:rPr>
          <w:color w:val="6E6158"/>
        </w:rPr>
        <w:t>industries,</w:t>
      </w:r>
      <w:r>
        <w:rPr>
          <w:color w:val="6E6158"/>
          <w:spacing w:val="13"/>
        </w:rPr>
        <w:t> </w:t>
      </w:r>
      <w:r>
        <w:rPr>
          <w:color w:val="6E6158"/>
        </w:rPr>
        <w:t>including</w:t>
      </w:r>
      <w:r>
        <w:rPr>
          <w:color w:val="6E6158"/>
          <w:spacing w:val="13"/>
        </w:rPr>
        <w:t> </w:t>
      </w:r>
      <w:r>
        <w:rPr>
          <w:color w:val="6E6158"/>
        </w:rPr>
        <w:t>professional</w:t>
      </w:r>
      <w:r>
        <w:rPr>
          <w:color w:val="6E6158"/>
          <w:spacing w:val="14"/>
        </w:rPr>
        <w:t> </w:t>
      </w:r>
      <w:r>
        <w:rPr>
          <w:color w:val="6E6158"/>
        </w:rPr>
        <w:t>services,</w:t>
      </w:r>
      <w:r>
        <w:rPr>
          <w:color w:val="6E6158"/>
          <w:spacing w:val="13"/>
        </w:rPr>
        <w:t> </w:t>
      </w:r>
      <w:r>
        <w:rPr>
          <w:color w:val="6E6158"/>
        </w:rPr>
        <w:t>software</w:t>
      </w:r>
      <w:r>
        <w:rPr>
          <w:color w:val="6E6158"/>
          <w:spacing w:val="14"/>
        </w:rPr>
        <w:t> </w:t>
      </w:r>
      <w:r>
        <w:rPr>
          <w:color w:val="6E6158"/>
          <w:spacing w:val="-5"/>
        </w:rPr>
        <w:t>and</w:t>
      </w:r>
    </w:p>
    <w:p>
      <w:pPr>
        <w:pStyle w:val="BodyText"/>
        <w:spacing w:line="297" w:lineRule="auto" w:before="52"/>
        <w:ind w:left="99" w:right="391"/>
      </w:pPr>
      <w:r>
        <w:rPr>
          <w:color w:val="6E6158"/>
        </w:rPr>
        <w:t>technology, construction, manufacturing, distribution, retail, and real estate. Known for his </w:t>
      </w:r>
      <w:r>
        <w:rPr>
          <w:color w:val="6E6158"/>
        </w:rPr>
        <w:t>clear</w:t>
      </w:r>
      <w:r>
        <w:rPr>
          <w:color w:val="6E6158"/>
          <w:spacing w:val="40"/>
        </w:rPr>
        <w:t> </w:t>
      </w:r>
      <w:r>
        <w:rPr>
          <w:color w:val="6E6158"/>
        </w:rPr>
        <w:t>and practical guidance, Nick helps business owners navigate high-stakes transactions while</w:t>
      </w:r>
      <w:r>
        <w:rPr>
          <w:color w:val="6E6158"/>
          <w:spacing w:val="40"/>
        </w:rPr>
        <w:t> </w:t>
      </w:r>
      <w:r>
        <w:rPr>
          <w:color w:val="6E6158"/>
        </w:rPr>
        <w:t>aligning deal structures with their long-term financial and legacy goals.</w:t>
      </w:r>
    </w:p>
    <w:p>
      <w:pPr>
        <w:pStyle w:val="BodyText"/>
        <w:spacing w:line="295" w:lineRule="auto" w:before="191"/>
        <w:ind w:left="99" w:right="254"/>
      </w:pPr>
      <w:r>
        <w:rPr>
          <w:color w:val="6E6158"/>
        </w:rPr>
        <w:t>Beyond M&amp;A, Nick maintains a robust trusts and estates practice, often serving business owners</w:t>
      </w:r>
      <w:r>
        <w:rPr>
          <w:color w:val="6E6158"/>
          <w:spacing w:val="40"/>
        </w:rPr>
        <w:t> </w:t>
      </w:r>
      <w:r>
        <w:rPr>
          <w:color w:val="6E6158"/>
        </w:rPr>
        <w:t>and multi-generational families whose estate planning needs intersect with business </w:t>
      </w:r>
      <w:r>
        <w:rPr>
          <w:color w:val="6E6158"/>
        </w:rPr>
        <w:t>succession.</w:t>
      </w:r>
      <w:r>
        <w:rPr>
          <w:color w:val="6E6158"/>
          <w:spacing w:val="40"/>
        </w:rPr>
        <w:t> </w:t>
      </w:r>
      <w:r>
        <w:rPr>
          <w:color w:val="6E6158"/>
        </w:rPr>
        <w:t>He designs comprehensive wealth transfer strategies that preserve legacy while achieving tax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efficiency.</w:t>
      </w:r>
    </w:p>
    <w:p>
      <w:pPr>
        <w:pStyle w:val="BodyText"/>
        <w:spacing w:line="295" w:lineRule="auto" w:before="197"/>
        <w:ind w:left="99" w:right="168"/>
      </w:pPr>
      <w:r>
        <w:rPr>
          <w:color w:val="6E6158"/>
        </w:rPr>
        <w:t>Nick</w:t>
      </w:r>
      <w:r>
        <w:rPr>
          <w:color w:val="6E6158"/>
          <w:spacing w:val="27"/>
        </w:rPr>
        <w:t> </w:t>
      </w:r>
      <w:r>
        <w:rPr>
          <w:color w:val="6E6158"/>
        </w:rPr>
        <w:t>also</w:t>
      </w:r>
      <w:r>
        <w:rPr>
          <w:color w:val="6E6158"/>
          <w:spacing w:val="27"/>
        </w:rPr>
        <w:t> </w:t>
      </w:r>
      <w:r>
        <w:rPr>
          <w:color w:val="6E6158"/>
        </w:rPr>
        <w:t>serves</w:t>
      </w:r>
      <w:r>
        <w:rPr>
          <w:color w:val="6E6158"/>
          <w:spacing w:val="27"/>
        </w:rPr>
        <w:t> </w:t>
      </w:r>
      <w:r>
        <w:rPr>
          <w:color w:val="6E6158"/>
        </w:rPr>
        <w:t>as</w:t>
      </w:r>
      <w:r>
        <w:rPr>
          <w:color w:val="6E6158"/>
          <w:spacing w:val="27"/>
        </w:rPr>
        <w:t> </w:t>
      </w:r>
      <w:r>
        <w:rPr>
          <w:color w:val="6E6158"/>
        </w:rPr>
        <w:t>outside</w:t>
      </w:r>
      <w:r>
        <w:rPr>
          <w:color w:val="6E6158"/>
          <w:spacing w:val="27"/>
        </w:rPr>
        <w:t> </w:t>
      </w:r>
      <w:r>
        <w:rPr>
          <w:color w:val="6E6158"/>
        </w:rPr>
        <w:t>general</w:t>
      </w:r>
      <w:r>
        <w:rPr>
          <w:color w:val="6E6158"/>
          <w:spacing w:val="27"/>
        </w:rPr>
        <w:t> </w:t>
      </w:r>
      <w:r>
        <w:rPr>
          <w:color w:val="6E6158"/>
        </w:rPr>
        <w:t>counsel</w:t>
      </w:r>
      <w:r>
        <w:rPr>
          <w:color w:val="6E6158"/>
          <w:spacing w:val="27"/>
        </w:rPr>
        <w:t> </w:t>
      </w:r>
      <w:r>
        <w:rPr>
          <w:color w:val="6E6158"/>
        </w:rPr>
        <w:t>to</w:t>
      </w:r>
      <w:r>
        <w:rPr>
          <w:color w:val="6E6158"/>
          <w:spacing w:val="27"/>
        </w:rPr>
        <w:t> </w:t>
      </w:r>
      <w:r>
        <w:rPr>
          <w:color w:val="6E6158"/>
        </w:rPr>
        <w:t>privately</w:t>
      </w:r>
      <w:r>
        <w:rPr>
          <w:color w:val="6E6158"/>
          <w:spacing w:val="27"/>
        </w:rPr>
        <w:t> </w:t>
      </w:r>
      <w:r>
        <w:rPr>
          <w:color w:val="6E6158"/>
        </w:rPr>
        <w:t>held</w:t>
      </w:r>
      <w:r>
        <w:rPr>
          <w:color w:val="6E6158"/>
          <w:spacing w:val="27"/>
        </w:rPr>
        <w:t> </w:t>
      </w:r>
      <w:r>
        <w:rPr>
          <w:color w:val="6E6158"/>
        </w:rPr>
        <w:t>businesses</w:t>
      </w:r>
      <w:r>
        <w:rPr>
          <w:color w:val="6E6158"/>
          <w:spacing w:val="27"/>
        </w:rPr>
        <w:t> </w:t>
      </w:r>
      <w:r>
        <w:rPr>
          <w:color w:val="6E6158"/>
        </w:rPr>
        <w:t>and</w:t>
      </w:r>
      <w:r>
        <w:rPr>
          <w:color w:val="6E6158"/>
          <w:spacing w:val="27"/>
        </w:rPr>
        <w:t> </w:t>
      </w:r>
      <w:r>
        <w:rPr>
          <w:color w:val="6E6158"/>
        </w:rPr>
        <w:t>nonprofits,</w:t>
      </w:r>
      <w:r>
        <w:rPr>
          <w:color w:val="6E6158"/>
          <w:spacing w:val="27"/>
        </w:rPr>
        <w:t> </w:t>
      </w:r>
      <w:r>
        <w:rPr>
          <w:color w:val="6E6158"/>
        </w:rPr>
        <w:t>advising on entity formation, corporate governance, operational matters, and reorganizations. His</w:t>
      </w:r>
      <w:r>
        <w:rPr>
          <w:color w:val="6E6158"/>
          <w:spacing w:val="40"/>
        </w:rPr>
        <w:t> </w:t>
      </w:r>
      <w:r>
        <w:rPr>
          <w:color w:val="6E6158"/>
        </w:rPr>
        <w:t>background in tax law, supported by an LL.M. in taxation, enables him to integrate </w:t>
      </w:r>
      <w:r>
        <w:rPr>
          <w:color w:val="6E6158"/>
        </w:rPr>
        <w:t>sophisticated</w:t>
      </w:r>
      <w:r>
        <w:rPr>
          <w:color w:val="6E6158"/>
          <w:spacing w:val="40"/>
        </w:rPr>
        <w:t> </w:t>
      </w:r>
      <w:r>
        <w:rPr>
          <w:color w:val="6E6158"/>
        </w:rPr>
        <w:t>tax planning into transactional and exit strategies, ensuring clients optimize outcomes and</w:t>
      </w:r>
      <w:r>
        <w:rPr>
          <w:color w:val="6E6158"/>
          <w:spacing w:val="80"/>
        </w:rPr>
        <w:t> </w:t>
      </w:r>
      <w:r>
        <w:rPr>
          <w:color w:val="6E6158"/>
        </w:rPr>
        <w:t>minimize tax burdens.</w:t>
      </w:r>
    </w:p>
    <w:p>
      <w:pPr>
        <w:pStyle w:val="BodyText"/>
        <w:spacing w:line="292" w:lineRule="auto" w:before="203"/>
        <w:ind w:left="99" w:right="391"/>
      </w:pPr>
      <w:r>
        <w:rPr>
          <w:color w:val="6E6158"/>
        </w:rPr>
        <w:t>In addition, Nick represents clients in tax disputes before the Colorado Department of </w:t>
      </w:r>
      <w:r>
        <w:rPr>
          <w:color w:val="6E6158"/>
        </w:rPr>
        <w:t>Revenue,</w:t>
      </w:r>
      <w:r>
        <w:rPr>
          <w:color w:val="6E6158"/>
          <w:spacing w:val="40"/>
        </w:rPr>
        <w:t> </w:t>
      </w:r>
      <w:r>
        <w:rPr>
          <w:color w:val="6E6158"/>
        </w:rPr>
        <w:t>the Internal Revenue Service, and the U.S. Tax Court.</w:t>
      </w:r>
    </w:p>
    <w:p>
      <w:pPr>
        <w:pStyle w:val="BodyText"/>
        <w:spacing w:after="0" w:line="292" w:lineRule="auto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line="292" w:lineRule="auto" w:before="83"/>
        <w:ind w:left="99" w:right="391"/>
      </w:pPr>
      <w:r>
        <w:rPr>
          <w:color w:val="6E6158"/>
        </w:rPr>
        <w:t>When not practicing law, Nick enjoys golf, running, traveling, reading about history, </w:t>
      </w:r>
      <w:r>
        <w:rPr>
          <w:color w:val="6E6158"/>
        </w:rPr>
        <w:t>and watching sports.</w:t>
      </w:r>
    </w:p>
    <w:p>
      <w:pPr>
        <w:pStyle w:val="Heading1"/>
        <w:spacing w:before="171"/>
      </w:pPr>
      <w:r>
        <w:rPr>
          <w:color w:val="FF8100"/>
          <w:spacing w:val="-2"/>
        </w:rPr>
        <w:t>EDUCATION</w:t>
      </w:r>
    </w:p>
    <w:p>
      <w:pPr>
        <w:pStyle w:val="BodyText"/>
        <w:spacing w:line="420" w:lineRule="auto" w:before="147"/>
        <w:ind w:left="351" w:right="539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1060346</wp:posOffset>
                </wp:positionH>
                <wp:positionV relativeFrom="paragraph">
                  <wp:posOffset>152612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016755pt;width:1.65pt;height:1.65pt;mso-position-horizontal-relative:page;mso-position-vertical-relative:paragraph;z-index:15729152" id="docshape16" coordorigin="1670,240" coordsize="33,33" path="m1691,273l1682,273,1678,271,1671,265,1670,261,1670,252,1671,248,1678,242,1682,240,1691,240,1694,242,1701,248,1702,252,1702,257,1702,261,1701,265,1694,271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1060346</wp:posOffset>
                </wp:positionH>
                <wp:positionV relativeFrom="paragraph">
                  <wp:posOffset>416145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67365pt;width:1.65pt;height:1.65pt;mso-position-horizontal-relative:page;mso-position-vertical-relative:paragraph;z-index:15729664" id="docshape17" coordorigin="1670,655" coordsize="33,33" path="m1691,688l1682,688,1678,686,1671,680,1670,676,1670,667,1671,663,1678,657,1682,655,1691,655,1694,657,1701,663,1702,667,1702,672,1702,676,1701,680,1694,686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LL.M., Taxation, University of </w:t>
      </w:r>
      <w:r>
        <w:rPr>
          <w:color w:val="6E6158"/>
        </w:rPr>
        <w:t>Denver J.D., University of Denver</w:t>
      </w:r>
    </w:p>
    <w:p>
      <w:pPr>
        <w:pStyle w:val="BodyText"/>
        <w:spacing w:line="231" w:lineRule="exact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1060346</wp:posOffset>
                </wp:positionH>
                <wp:positionV relativeFrom="paragraph">
                  <wp:posOffset>63425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994139pt;width:1.65pt;height:1.65pt;mso-position-horizontal-relative:page;mso-position-vertical-relative:paragraph;z-index:15730176" id="docshape18" coordorigin="1670,100" coordsize="33,33" path="m1691,132l1682,132,1678,131,1671,124,1670,121,1670,112,1671,108,1678,101,1682,100,1691,100,1694,101,1701,108,1702,112,1702,116,1702,121,1701,124,1694,131,1691,13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B.A.,</w:t>
      </w:r>
      <w:r>
        <w:rPr>
          <w:color w:val="6E6158"/>
          <w:spacing w:val="9"/>
        </w:rPr>
        <w:t> </w:t>
      </w:r>
      <w:r>
        <w:rPr>
          <w:color w:val="6E6158"/>
        </w:rPr>
        <w:t>Duke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University</w:t>
      </w:r>
    </w:p>
    <w:p>
      <w:pPr>
        <w:pStyle w:val="BodyText"/>
        <w:spacing w:before="40"/>
        <w:rPr>
          <w:sz w:val="24"/>
        </w:rPr>
      </w:pPr>
    </w:p>
    <w:p>
      <w:pPr>
        <w:pStyle w:val="Heading1"/>
        <w:spacing w:before="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154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1060346</wp:posOffset>
                </wp:positionH>
                <wp:positionV relativeFrom="paragraph">
                  <wp:posOffset>157513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02635pt;width:1.65pt;height:1.65pt;mso-position-horizontal-relative:page;mso-position-vertical-relative:paragraph;z-index:15730688" id="docshape19" coordorigin="1670,248" coordsize="33,33" path="m1691,281l1682,281,1678,279,1671,273,1670,269,1670,260,1671,256,1678,250,1682,248,1691,248,1694,250,1701,256,1702,260,1702,264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Business</w:t>
      </w:r>
      <w:r>
        <w:rPr>
          <w:color w:val="6E6158"/>
          <w:spacing w:val="9"/>
        </w:rPr>
        <w:t> </w:t>
      </w:r>
      <w:r>
        <w:rPr>
          <w:color w:val="6E6158"/>
        </w:rPr>
        <w:t>&amp;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Finance</w:t>
      </w:r>
    </w:p>
    <w:p>
      <w:pPr>
        <w:pStyle w:val="BodyText"/>
        <w:spacing w:line="420" w:lineRule="auto" w:before="174"/>
        <w:ind w:left="351" w:right="497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1060346</wp:posOffset>
                </wp:positionH>
                <wp:positionV relativeFrom="paragraph">
                  <wp:posOffset>170163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398692pt;width:1.65pt;height:1.65pt;mso-position-horizontal-relative:page;mso-position-vertical-relative:paragraph;z-index:15731200" id="docshape20" coordorigin="1670,268" coordsize="33,33" path="m1691,301l1682,301,1678,299,1671,293,1670,289,1670,280,1671,276,1678,270,1682,268,1691,268,1694,270,1701,276,1702,280,1702,284,1702,289,1701,293,1694,299,1691,30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1060346</wp:posOffset>
                </wp:positionH>
                <wp:positionV relativeFrom="paragraph">
                  <wp:posOffset>433696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149303pt;width:1.65pt;height:1.65pt;mso-position-horizontal-relative:page;mso-position-vertical-relative:paragraph;z-index:15731712" id="docshape21" coordorigin="1670,683" coordsize="33,33" path="m1691,716l1682,716,1678,714,1671,708,1670,704,1670,695,1671,691,1678,685,1682,683,1691,683,1694,685,1701,691,1702,695,1702,699,1702,704,1701,708,1694,714,1691,71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Family Office &amp; Private Client </w:t>
      </w:r>
      <w:r>
        <w:rPr>
          <w:color w:val="6E6158"/>
        </w:rPr>
        <w:t>Attorneys Mergers &amp; Acquisitions</w:t>
      </w:r>
    </w:p>
    <w:p>
      <w:pPr>
        <w:pStyle w:val="BodyText"/>
        <w:spacing w:line="231" w:lineRule="exact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1060346</wp:posOffset>
                </wp:positionH>
                <wp:positionV relativeFrom="paragraph">
                  <wp:posOffset>63831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26097pt;width:1.65pt;height:1.65pt;mso-position-horizontal-relative:page;mso-position-vertical-relative:paragraph;z-index:15732224" id="docshape22" coordorigin="1670,101" coordsize="33,33" path="m1691,133l1682,133,1678,131,1671,125,1670,121,1670,112,1671,108,1678,102,1682,101,1691,101,1694,102,1701,108,1702,112,1702,117,1702,121,1701,125,1694,131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Tax</w:t>
      </w:r>
      <w:r>
        <w:rPr>
          <w:color w:val="6E6158"/>
          <w:spacing w:val="-4"/>
        </w:rPr>
        <w:t> </w:t>
      </w:r>
      <w:r>
        <w:rPr>
          <w:color w:val="6E6158"/>
          <w:spacing w:val="-5"/>
        </w:rPr>
        <w:t>Law</w:t>
      </w:r>
    </w:p>
    <w:p>
      <w:pPr>
        <w:pStyle w:val="BodyText"/>
        <w:spacing w:line="420" w:lineRule="auto" w:before="182"/>
        <w:ind w:left="351" w:right="712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1060346</wp:posOffset>
                </wp:positionH>
                <wp:positionV relativeFrom="paragraph">
                  <wp:posOffset>175280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0161pt;width:1.65pt;height:1.65pt;mso-position-horizontal-relative:page;mso-position-vertical-relative:paragraph;z-index:15732736" id="docshape23" coordorigin="1670,276" coordsize="33,33" path="m1691,309l1682,309,1678,307,1671,301,1670,297,1670,288,1671,284,1678,278,1682,276,1691,276,1694,278,1701,284,1702,288,1702,292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1060346</wp:posOffset>
                </wp:positionH>
                <wp:positionV relativeFrom="paragraph">
                  <wp:posOffset>433646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145359pt;width:1.65pt;height:1.65pt;mso-position-horizontal-relative:page;mso-position-vertical-relative:paragraph;z-index:15733248" id="docshape24" coordorigin="1670,683" coordsize="33,33" path="m1691,715l1682,715,1678,714,1671,708,1670,704,1670,695,1671,691,1678,684,1682,683,1691,683,1694,684,1701,691,1702,695,1702,699,1702,704,1701,708,1694,714,1691,71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Trusts &amp; Estates Estate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Planning</w:t>
      </w:r>
    </w:p>
    <w:p>
      <w:pPr>
        <w:pStyle w:val="BodyText"/>
        <w:spacing w:line="231" w:lineRule="exact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1060346</wp:posOffset>
                </wp:positionH>
                <wp:positionV relativeFrom="paragraph">
                  <wp:posOffset>63868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28986pt;width:1.65pt;height:1.65pt;mso-position-horizontal-relative:page;mso-position-vertical-relative:paragraph;z-index:15733760" id="docshape25" coordorigin="1670,101" coordsize="33,33" path="m1691,133l1682,133,1678,132,1671,125,1670,121,1670,112,1671,109,1678,102,1682,101,1691,101,1694,102,1701,109,1702,112,1702,117,1702,121,1701,125,1694,132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General</w:t>
      </w:r>
      <w:r>
        <w:rPr>
          <w:color w:val="6E6158"/>
          <w:spacing w:val="16"/>
        </w:rPr>
        <w:t> </w:t>
      </w:r>
      <w:r>
        <w:rPr>
          <w:color w:val="6E6158"/>
        </w:rPr>
        <w:t>Counsel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Services</w:t>
      </w:r>
    </w:p>
    <w:p>
      <w:pPr>
        <w:pStyle w:val="BodyText"/>
        <w:spacing w:before="41"/>
        <w:rPr>
          <w:sz w:val="24"/>
        </w:rPr>
      </w:pPr>
    </w:p>
    <w:p>
      <w:pPr>
        <w:pStyle w:val="Heading1"/>
      </w:pPr>
      <w:r>
        <w:rPr>
          <w:color w:val="FF8100"/>
        </w:rPr>
        <w:t>REPRESENTATIVE</w:t>
      </w:r>
      <w:r>
        <w:rPr>
          <w:color w:val="FF8100"/>
          <w:spacing w:val="19"/>
        </w:rPr>
        <w:t> </w:t>
      </w:r>
      <w:r>
        <w:rPr>
          <w:color w:val="FF8100"/>
          <w:spacing w:val="-2"/>
        </w:rPr>
        <w:t>CASES</w:t>
      </w:r>
    </w:p>
    <w:p>
      <w:pPr>
        <w:pStyle w:val="BodyText"/>
        <w:spacing w:line="297" w:lineRule="auto" w:before="147"/>
        <w:ind w:left="351" w:right="39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1060346</wp:posOffset>
                </wp:positionH>
                <wp:positionV relativeFrom="paragraph">
                  <wp:posOffset>338812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6.678118pt;width:1.65pt;height:1.65pt;mso-position-horizontal-relative:page;mso-position-vertical-relative:paragraph;z-index:15734272" id="docshape26" coordorigin="1670,534" coordsize="33,33" path="m1691,566l1682,566,1678,565,1671,558,1670,554,1670,545,1671,542,1678,535,1682,534,1691,534,1694,535,1701,542,1702,545,1702,550,1702,554,1701,558,1694,565,1691,56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2">
        <w:r>
          <w:rPr>
            <w:color w:val="F5821F"/>
          </w:rPr>
          <w:t>Served as legal counsel to Xybix, a leading designer and manufacturer of ergonomic</w:t>
        </w:r>
      </w:hyperlink>
      <w:r>
        <w:rPr>
          <w:color w:val="F5821F"/>
        </w:rPr>
        <w:t> </w:t>
      </w:r>
      <w:hyperlink r:id="rId12">
        <w:r>
          <w:rPr>
            <w:color w:val="F5821F"/>
          </w:rPr>
          <w:t>workstations and control-room furniture built for mission-critical, 24/7 environments, in </w:t>
        </w:r>
        <w:r>
          <w:rPr>
            <w:color w:val="F5821F"/>
          </w:rPr>
          <w:t>its</w:t>
        </w:r>
      </w:hyperlink>
      <w:r>
        <w:rPr>
          <w:color w:val="F5821F"/>
        </w:rPr>
        <w:t> </w:t>
      </w:r>
      <w:hyperlink r:id="rId12">
        <w:r>
          <w:rPr>
            <w:color w:val="F5821F"/>
          </w:rPr>
          <w:t>acquisition by Highland Rim Capital.</w:t>
        </w:r>
      </w:hyperlink>
    </w:p>
    <w:p>
      <w:pPr>
        <w:pStyle w:val="BodyText"/>
        <w:spacing w:line="302" w:lineRule="auto" w:before="118"/>
        <w:ind w:left="351" w:right="39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1060346</wp:posOffset>
                </wp:positionH>
                <wp:positionV relativeFrom="paragraph">
                  <wp:posOffset>232582</wp:posOffset>
                </wp:positionV>
                <wp:extent cx="20955" cy="2095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313572pt;width:1.65pt;height:1.65pt;mso-position-horizontal-relative:page;mso-position-vertical-relative:paragraph;z-index:15734784" id="docshape27" coordorigin="1670,366" coordsize="33,33" path="m1691,399l1682,399,1678,397,1671,391,1670,387,1670,378,1671,374,1678,368,1682,366,1691,366,1694,368,1701,374,1702,378,1702,383,1702,387,1701,391,1694,397,1691,39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Represents a variety of investment funds through all phases of fund lifecycles, from structure,</w:t>
      </w:r>
      <w:r>
        <w:rPr>
          <w:color w:val="6E6158"/>
          <w:spacing w:val="40"/>
        </w:rPr>
        <w:t> </w:t>
      </w:r>
      <w:r>
        <w:rPr>
          <w:color w:val="6E6158"/>
        </w:rPr>
        <w:t>to formation, to investment, to liquidation.</w:t>
      </w:r>
    </w:p>
    <w:p>
      <w:pPr>
        <w:pStyle w:val="BodyText"/>
        <w:spacing w:before="113"/>
        <w:ind w:left="351"/>
      </w:pPr>
      <w:hyperlink r:id="rId13">
        <w:r>
          <w:rPr>
            <w:color w:val="F5821F"/>
          </w:rPr>
          <w:t>Served</w:t>
        </w:r>
        <w:r>
          <w:rPr>
            <w:color w:val="F5821F"/>
            <w:spacing w:val="9"/>
          </w:rPr>
          <w:t> </w:t>
        </w:r>
        <w:r>
          <w:rPr>
            <w:color w:val="F5821F"/>
          </w:rPr>
          <w:t>as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the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exclusive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legal</w:t>
        </w:r>
        <w:r>
          <w:rPr>
            <w:color w:val="F5821F"/>
            <w:spacing w:val="9"/>
          </w:rPr>
          <w:t> </w:t>
        </w:r>
        <w:r>
          <w:rPr>
            <w:color w:val="F5821F"/>
          </w:rPr>
          <w:t>advisor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to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the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CFO</w:t>
        </w:r>
        <w:r>
          <w:rPr>
            <w:color w:val="F5821F"/>
            <w:spacing w:val="9"/>
          </w:rPr>
          <w:t> </w:t>
        </w:r>
        <w:r>
          <w:rPr>
            <w:color w:val="F5821F"/>
          </w:rPr>
          <w:t>Project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in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its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acquisition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by</w:t>
        </w:r>
        <w:r>
          <w:rPr>
            <w:color w:val="F5821F"/>
            <w:spacing w:val="9"/>
          </w:rPr>
          <w:t> </w:t>
        </w:r>
        <w:r>
          <w:rPr>
            <w:color w:val="F5821F"/>
            <w:spacing w:val="-2"/>
          </w:rPr>
          <w:t>Broadtree</w:t>
        </w:r>
      </w:hyperlink>
    </w:p>
    <w:p>
      <w:pPr>
        <w:pStyle w:val="BodyText"/>
        <w:spacing w:line="292" w:lineRule="auto" w:before="52"/>
        <w:ind w:left="351" w:right="39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1060346</wp:posOffset>
                </wp:positionH>
                <wp:positionV relativeFrom="paragraph">
                  <wp:posOffset>97432</wp:posOffset>
                </wp:positionV>
                <wp:extent cx="20955" cy="2095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7.671824pt;width:1.65pt;height:1.65pt;mso-position-horizontal-relative:page;mso-position-vertical-relative:paragraph;z-index:15735296" id="docshape28" coordorigin="1670,153" coordsize="33,33" path="m1691,186l1682,186,1678,184,1671,178,1670,174,1670,165,1671,161,1678,155,1682,153,1691,153,1694,155,1701,161,1702,165,1702,170,1702,174,1701,178,1694,184,1691,1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3">
        <w:r>
          <w:rPr>
            <w:color w:val="F5821F"/>
          </w:rPr>
          <w:t>Partners, supporting its goal to expand its community as the demand for business </w:t>
        </w:r>
        <w:r>
          <w:rPr>
            <w:color w:val="F5821F"/>
          </w:rPr>
          <w:t>finance</w:t>
        </w:r>
      </w:hyperlink>
      <w:r>
        <w:rPr>
          <w:color w:val="F5821F"/>
        </w:rPr>
        <w:t> </w:t>
      </w:r>
      <w:hyperlink r:id="rId13">
        <w:r>
          <w:rPr>
            <w:color w:val="F5821F"/>
          </w:rPr>
          <w:t>expertise continues to grow.</w:t>
        </w:r>
      </w:hyperlink>
    </w:p>
    <w:p>
      <w:pPr>
        <w:pStyle w:val="BodyText"/>
        <w:spacing w:line="292" w:lineRule="auto" w:before="131"/>
        <w:ind w:left="351" w:right="39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1060346</wp:posOffset>
                </wp:positionH>
                <wp:positionV relativeFrom="paragraph">
                  <wp:posOffset>235705</wp:posOffset>
                </wp:positionV>
                <wp:extent cx="20955" cy="20955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59502pt;width:1.65pt;height:1.65pt;mso-position-horizontal-relative:page;mso-position-vertical-relative:paragraph;z-index:15735808" id="docshape29" coordorigin="1670,371" coordsize="33,33" path="m1691,404l1682,404,1678,402,1671,396,1670,392,1670,383,1671,379,1678,373,1682,371,1691,371,1694,373,1701,379,1702,383,1702,387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4">
        <w:r>
          <w:rPr>
            <w:color w:val="F5821F"/>
          </w:rPr>
          <w:t>Represented Argus Professional Storage Management, LLC in its combination with </w:t>
        </w:r>
        <w:r>
          <w:rPr>
            <w:color w:val="F5821F"/>
          </w:rPr>
          <w:t>SmartStop</w:t>
        </w:r>
      </w:hyperlink>
      <w:r>
        <w:rPr>
          <w:color w:val="F5821F"/>
          <w:spacing w:val="40"/>
        </w:rPr>
        <w:t> </w:t>
      </w:r>
      <w:hyperlink r:id="rId14">
        <w:r>
          <w:rPr>
            <w:color w:val="F5821F"/>
          </w:rPr>
          <w:t>Self Storage REIT, Inc. (NYSE: SMA).</w:t>
        </w:r>
      </w:hyperlink>
    </w:p>
    <w:p>
      <w:pPr>
        <w:pStyle w:val="BodyText"/>
        <w:spacing w:line="292" w:lineRule="auto" w:before="123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1060346</wp:posOffset>
                </wp:positionH>
                <wp:positionV relativeFrom="paragraph">
                  <wp:posOffset>230803</wp:posOffset>
                </wp:positionV>
                <wp:extent cx="20955" cy="20955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73532pt;width:1.65pt;height:1.65pt;mso-position-horizontal-relative:page;mso-position-vertical-relative:paragraph;z-index:15736320" id="docshape30" coordorigin="1670,363" coordsize="33,33" path="m1691,396l1682,396,1678,394,1671,388,1670,384,1670,375,1671,371,1678,365,1682,363,1691,363,1694,365,1701,371,1702,375,1702,380,1702,384,1701,388,1694,394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L&amp;R Pallet Service, Inc. in a $30 million asset purchase and sale of its business to</w:t>
      </w:r>
      <w:r>
        <w:rPr>
          <w:color w:val="6E6158"/>
          <w:spacing w:val="40"/>
        </w:rPr>
        <w:t> </w:t>
      </w:r>
      <w:r>
        <w:rPr>
          <w:color w:val="6E6158"/>
        </w:rPr>
        <w:t>Kamps, Inc.</w:t>
      </w:r>
    </w:p>
    <w:p>
      <w:pPr>
        <w:pStyle w:val="BodyText"/>
        <w:spacing w:line="292" w:lineRule="auto" w:before="132"/>
        <w:ind w:left="351" w:right="39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1060346</wp:posOffset>
                </wp:positionH>
                <wp:positionV relativeFrom="paragraph">
                  <wp:posOffset>236148</wp:posOffset>
                </wp:positionV>
                <wp:extent cx="20955" cy="20955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94362pt;width:1.65pt;height:1.65pt;mso-position-horizontal-relative:page;mso-position-vertical-relative:paragraph;z-index:15736832" id="docshape31" coordorigin="1670,372" coordsize="33,33" path="m1691,404l1682,404,1678,403,1671,396,1670,393,1670,384,1671,380,1678,373,1682,372,1691,372,1694,373,1701,380,1702,384,1702,388,1702,393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Colorado Premier Restoration, Inc. in a $47.5 million asset purchase and sale of</w:t>
      </w:r>
      <w:r>
        <w:rPr>
          <w:color w:val="6E6158"/>
          <w:spacing w:val="80"/>
        </w:rPr>
        <w:t> </w:t>
      </w:r>
      <w:r>
        <w:rPr>
          <w:color w:val="6E6158"/>
        </w:rPr>
        <w:t>its business to BMS CAT of Colorado, LLC.</w:t>
      </w:r>
    </w:p>
    <w:p>
      <w:pPr>
        <w:pStyle w:val="BodyText"/>
        <w:spacing w:line="292" w:lineRule="auto" w:before="123"/>
        <w:ind w:left="351" w:right="39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1060346</wp:posOffset>
                </wp:positionH>
                <wp:positionV relativeFrom="paragraph">
                  <wp:posOffset>230610</wp:posOffset>
                </wp:positionV>
                <wp:extent cx="20955" cy="20955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58297pt;width:1.65pt;height:1.65pt;mso-position-horizontal-relative:page;mso-position-vertical-relative:paragraph;z-index:15737344" id="docshape32" coordorigin="1670,363" coordsize="33,33" path="m1691,396l1682,396,1678,394,1671,388,1670,384,1670,375,1671,371,1678,365,1682,363,1691,363,1694,365,1701,371,1702,375,1702,379,1702,384,1701,388,1694,394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Tri County Fire Protection, Inc. in a $10 million asset purchase and sale of its business to Pye-Barker Fire &amp; Safety, LLC.</w:t>
      </w:r>
    </w:p>
    <w:p>
      <w:pPr>
        <w:pStyle w:val="BodyText"/>
        <w:spacing w:line="292" w:lineRule="auto" w:before="131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1060346</wp:posOffset>
                </wp:positionH>
                <wp:positionV relativeFrom="paragraph">
                  <wp:posOffset>235954</wp:posOffset>
                </wp:positionV>
                <wp:extent cx="20955" cy="20955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79126pt;width:1.65pt;height:1.65pt;mso-position-horizontal-relative:page;mso-position-vertical-relative:paragraph;z-index:15737856" id="docshape33" coordorigin="1670,372" coordsize="33,33" path="m1691,404l1682,404,1678,403,1671,396,1670,392,1670,383,1671,380,1678,373,1682,372,1691,372,1694,373,1701,380,1702,383,1702,388,1702,392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Advised national professional sports league regarding tax implications and cross-border legal</w:t>
      </w:r>
      <w:r>
        <w:rPr>
          <w:color w:val="6E6158"/>
          <w:spacing w:val="40"/>
        </w:rPr>
        <w:t> </w:t>
      </w:r>
      <w:r>
        <w:rPr>
          <w:color w:val="6E6158"/>
        </w:rPr>
        <w:t>issues</w:t>
      </w:r>
      <w:r>
        <w:rPr>
          <w:color w:val="6E6158"/>
          <w:spacing w:val="12"/>
        </w:rPr>
        <w:t> </w:t>
      </w:r>
      <w:r>
        <w:rPr>
          <w:color w:val="6E6158"/>
        </w:rPr>
        <w:t>related</w:t>
      </w:r>
      <w:r>
        <w:rPr>
          <w:color w:val="6E6158"/>
          <w:spacing w:val="12"/>
        </w:rPr>
        <w:t> </w:t>
      </w:r>
      <w:r>
        <w:rPr>
          <w:color w:val="6E6158"/>
        </w:rPr>
        <w:t>to</w:t>
      </w:r>
      <w:r>
        <w:rPr>
          <w:color w:val="6E6158"/>
          <w:spacing w:val="12"/>
        </w:rPr>
        <w:t> </w:t>
      </w:r>
      <w:r>
        <w:rPr>
          <w:color w:val="6E6158"/>
        </w:rPr>
        <w:t>expansion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</w:rPr>
        <w:t>league</w:t>
      </w:r>
      <w:r>
        <w:rPr>
          <w:color w:val="6E6158"/>
          <w:spacing w:val="12"/>
        </w:rPr>
        <w:t> </w:t>
      </w:r>
      <w:r>
        <w:rPr>
          <w:color w:val="6E6158"/>
        </w:rPr>
        <w:t>into</w:t>
      </w:r>
      <w:r>
        <w:rPr>
          <w:color w:val="6E6158"/>
          <w:spacing w:val="12"/>
        </w:rPr>
        <w:t> </w:t>
      </w:r>
      <w:r>
        <w:rPr>
          <w:color w:val="6E6158"/>
        </w:rPr>
        <w:t>Canada</w:t>
      </w:r>
      <w:r>
        <w:rPr>
          <w:color w:val="6E6158"/>
          <w:spacing w:val="12"/>
        </w:rPr>
        <w:t> </w:t>
      </w:r>
      <w:r>
        <w:rPr>
          <w:color w:val="6E6158"/>
        </w:rPr>
        <w:t>with</w:t>
      </w:r>
      <w:r>
        <w:rPr>
          <w:color w:val="6E6158"/>
          <w:spacing w:val="12"/>
        </w:rPr>
        <w:t> </w:t>
      </w:r>
      <w:r>
        <w:rPr>
          <w:color w:val="6E6158"/>
        </w:rPr>
        <w:t>the</w:t>
      </w:r>
      <w:r>
        <w:rPr>
          <w:color w:val="6E6158"/>
          <w:spacing w:val="12"/>
        </w:rPr>
        <w:t> </w:t>
      </w:r>
      <w:r>
        <w:rPr>
          <w:color w:val="6E6158"/>
        </w:rPr>
        <w:t>addition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</w:rPr>
        <w:t>a</w:t>
      </w:r>
      <w:r>
        <w:rPr>
          <w:color w:val="6E6158"/>
          <w:spacing w:val="12"/>
        </w:rPr>
        <w:t> </w:t>
      </w:r>
      <w:r>
        <w:rPr>
          <w:color w:val="6E6158"/>
        </w:rPr>
        <w:t>Toronto</w:t>
      </w:r>
      <w:r>
        <w:rPr>
          <w:color w:val="6E6158"/>
          <w:spacing w:val="12"/>
        </w:rPr>
        <w:t> </w:t>
      </w:r>
      <w:r>
        <w:rPr>
          <w:color w:val="6E6158"/>
        </w:rPr>
        <w:t>based</w:t>
      </w:r>
      <w:r>
        <w:rPr>
          <w:color w:val="6E6158"/>
          <w:spacing w:val="12"/>
        </w:rPr>
        <w:t> </w:t>
      </w:r>
      <w:r>
        <w:rPr>
          <w:color w:val="6E6158"/>
        </w:rPr>
        <w:t>team.</w:t>
      </w:r>
    </w:p>
    <w:p>
      <w:pPr>
        <w:pStyle w:val="BodyText"/>
        <w:spacing w:line="302" w:lineRule="auto" w:before="124"/>
        <w:ind w:left="351" w:right="39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1060346</wp:posOffset>
                </wp:positionH>
                <wp:positionV relativeFrom="paragraph">
                  <wp:posOffset>236220</wp:posOffset>
                </wp:positionV>
                <wp:extent cx="20955" cy="20955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600029pt;width:1.65pt;height:1.65pt;mso-position-horizontal-relative:page;mso-position-vertical-relative:paragraph;z-index:15738368" id="docshape34" coordorigin="1670,372" coordsize="33,33" path="m1691,405l1682,405,1678,403,1671,397,1670,393,1670,384,1671,380,1678,374,1682,372,1691,372,1694,374,1701,380,1702,384,1702,388,1702,393,1701,397,1694,403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Serves as general counsel and advisory board member to one of the top five largest construction companies in Colorado.</w:t>
      </w:r>
    </w:p>
    <w:p>
      <w:pPr>
        <w:pStyle w:val="BodyText"/>
        <w:spacing w:line="292" w:lineRule="auto" w:before="112"/>
        <w:ind w:left="351" w:right="39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1060346</wp:posOffset>
                </wp:positionH>
                <wp:positionV relativeFrom="paragraph">
                  <wp:posOffset>223928</wp:posOffset>
                </wp:positionV>
                <wp:extent cx="20955" cy="20955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32147pt;width:1.65pt;height:1.65pt;mso-position-horizontal-relative:page;mso-position-vertical-relative:paragraph;z-index:15738880" id="docshape35" coordorigin="1670,353" coordsize="33,33" path="m1691,385l1682,385,1678,384,1671,377,1670,373,1670,364,1671,361,1678,354,1682,353,1691,353,1694,354,1701,361,1702,364,1702,369,1702,373,1701,377,1694,384,1691,38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Serves as general counsel and advisory board member to automotive dealership group that</w:t>
      </w:r>
      <w:r>
        <w:rPr>
          <w:color w:val="6E6158"/>
          <w:spacing w:val="40"/>
        </w:rPr>
        <w:t> </w:t>
      </w:r>
      <w:r>
        <w:rPr>
          <w:color w:val="6E6158"/>
        </w:rPr>
        <w:t>has been in business in Colorado for 100 years.</w:t>
      </w:r>
    </w:p>
    <w:p>
      <w:pPr>
        <w:pStyle w:val="BodyText"/>
        <w:spacing w:after="0" w:line="292" w:lineRule="auto"/>
        <w:sectPr>
          <w:pgSz w:w="12240" w:h="15840"/>
          <w:pgMar w:top="500" w:bottom="280" w:left="1440" w:right="1440"/>
        </w:sectPr>
      </w:pPr>
    </w:p>
    <w:p>
      <w:pPr>
        <w:pStyle w:val="BodyText"/>
        <w:spacing w:line="292" w:lineRule="auto" w:before="83"/>
        <w:ind w:left="351" w:right="39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1060346</wp:posOffset>
                </wp:positionH>
                <wp:positionV relativeFrom="paragraph">
                  <wp:posOffset>205446</wp:posOffset>
                </wp:positionV>
                <wp:extent cx="20955" cy="20955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6.17691pt;width:1.65pt;height:1.65pt;mso-position-horizontal-relative:page;mso-position-vertical-relative:paragraph;z-index:15739392" id="docshape36" coordorigin="1670,324" coordsize="33,33" path="m1691,356l1682,356,1678,354,1671,348,1670,344,1670,335,1671,331,1678,325,1682,324,1691,324,1694,325,1701,331,1702,335,1702,340,1702,344,1701,348,1694,354,1691,35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Represents numerous high net worth (excess of $50 million) individuals and families </w:t>
      </w:r>
      <w:r>
        <w:rPr>
          <w:color w:val="6E6158"/>
        </w:rPr>
        <w:t>with complex and comprehensive estate and tax planning.</w:t>
      </w:r>
    </w:p>
    <w:p>
      <w:pPr>
        <w:pStyle w:val="Heading1"/>
        <w:spacing w:before="171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spacing w:before="139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1060346</wp:posOffset>
                </wp:positionH>
                <wp:positionV relativeFrom="paragraph">
                  <wp:posOffset>162947</wp:posOffset>
                </wp:positionV>
                <wp:extent cx="20955" cy="20955"/>
                <wp:effectExtent l="0" t="0" r="0" b="0"/>
                <wp:wrapNone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830528pt;width:1.65pt;height:1.65pt;mso-position-horizontal-relative:page;mso-position-vertical-relative:paragraph;z-index:15739904" id="docshape37" coordorigin="1670,257" coordsize="33,33" path="m1691,289l1682,289,1678,288,1671,281,1670,277,1670,268,1671,265,1678,258,1682,257,1691,257,1694,258,1701,265,1702,268,1702,273,1702,277,1701,281,1694,288,1691,28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Best</w:t>
      </w:r>
      <w:r>
        <w:rPr>
          <w:i/>
          <w:color w:val="6E6158"/>
          <w:spacing w:val="-11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spacing w:val="-11"/>
          <w:sz w:val="20"/>
        </w:rPr>
        <w:t> </w:t>
      </w:r>
      <w:r>
        <w:rPr>
          <w:i/>
          <w:color w:val="6E6158"/>
          <w:sz w:val="20"/>
        </w:rPr>
        <w:t>in</w:t>
      </w:r>
      <w:r>
        <w:rPr>
          <w:i/>
          <w:color w:val="6E6158"/>
          <w:spacing w:val="-10"/>
          <w:sz w:val="20"/>
        </w:rPr>
        <w:t> </w:t>
      </w:r>
      <w:r>
        <w:rPr>
          <w:i/>
          <w:color w:val="6E6158"/>
          <w:sz w:val="20"/>
        </w:rPr>
        <w:t>America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</w:t>
      </w:r>
      <w:r>
        <w:rPr>
          <w:i/>
          <w:color w:val="6E6158"/>
          <w:spacing w:val="-11"/>
          <w:sz w:val="20"/>
        </w:rPr>
        <w:t> </w:t>
      </w:r>
      <w:r>
        <w:rPr>
          <w:color w:val="6E6158"/>
          <w:sz w:val="19"/>
        </w:rPr>
        <w:t>Tax</w:t>
      </w:r>
      <w:r>
        <w:rPr>
          <w:color w:val="6E6158"/>
          <w:spacing w:val="-8"/>
          <w:sz w:val="19"/>
        </w:rPr>
        <w:t> </w:t>
      </w:r>
      <w:r>
        <w:rPr>
          <w:color w:val="6E6158"/>
          <w:sz w:val="19"/>
        </w:rPr>
        <w:t>Law,</w:t>
      </w:r>
      <w:r>
        <w:rPr>
          <w:color w:val="6E6158"/>
          <w:spacing w:val="-7"/>
          <w:sz w:val="19"/>
        </w:rPr>
        <w:t> </w:t>
      </w:r>
      <w:r>
        <w:rPr>
          <w:color w:val="6E6158"/>
          <w:sz w:val="19"/>
        </w:rPr>
        <w:t>2025-</w:t>
      </w:r>
      <w:r>
        <w:rPr>
          <w:color w:val="6E6158"/>
          <w:spacing w:val="-4"/>
          <w:sz w:val="19"/>
        </w:rPr>
        <w:t>2026</w:t>
      </w:r>
    </w:p>
    <w:p>
      <w:pPr>
        <w:pStyle w:val="BodyText"/>
        <w:spacing w:before="172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1060346</wp:posOffset>
                </wp:positionH>
                <wp:positionV relativeFrom="paragraph">
                  <wp:posOffset>173937</wp:posOffset>
                </wp:positionV>
                <wp:extent cx="20955" cy="20955"/>
                <wp:effectExtent l="0" t="0" r="0" b="0"/>
                <wp:wrapNone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695827pt;width:1.65pt;height:1.65pt;mso-position-horizontal-relative:page;mso-position-vertical-relative:paragraph;z-index:15740416" id="docshape38" coordorigin="1670,274" coordsize="33,33" path="m1691,306l1682,306,1678,305,1671,299,1670,295,1670,286,1671,282,1678,276,1682,274,1691,274,1694,276,1701,282,1702,286,1702,290,1702,295,1701,299,1694,305,1691,30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5">
        <w:r>
          <w:rPr>
            <w:color w:val="F5821F"/>
          </w:rPr>
          <w:t>Colorado</w:t>
        </w:r>
        <w:r>
          <w:rPr>
            <w:color w:val="F5821F"/>
            <w:spacing w:val="14"/>
          </w:rPr>
          <w:t> </w:t>
        </w:r>
        <w:r>
          <w:rPr>
            <w:color w:val="F5821F"/>
          </w:rPr>
          <w:t>Super</w:t>
        </w:r>
        <w:r>
          <w:rPr>
            <w:color w:val="F5821F"/>
            <w:spacing w:val="14"/>
          </w:rPr>
          <w:t> </w:t>
        </w:r>
        <w:r>
          <w:rPr>
            <w:color w:val="F5821F"/>
          </w:rPr>
          <w:t>Lawyers</w:t>
        </w:r>
        <w:r>
          <w:rPr>
            <w:color w:val="F5821F"/>
            <w:spacing w:val="15"/>
          </w:rPr>
          <w:t> </w:t>
        </w:r>
        <w:r>
          <w:rPr>
            <w:color w:val="F5821F"/>
          </w:rPr>
          <w:t>Rising</w:t>
        </w:r>
        <w:r>
          <w:rPr>
            <w:color w:val="F5821F"/>
            <w:spacing w:val="14"/>
          </w:rPr>
          <w:t> </w:t>
        </w:r>
        <w:r>
          <w:rPr>
            <w:color w:val="F5821F"/>
          </w:rPr>
          <w:t>Star:</w:t>
        </w:r>
        <w:r>
          <w:rPr>
            <w:color w:val="F5821F"/>
            <w:spacing w:val="15"/>
          </w:rPr>
          <w:t> </w:t>
        </w:r>
        <w:r>
          <w:rPr>
            <w:color w:val="F5821F"/>
          </w:rPr>
          <w:t>Business/Corporate,</w:t>
        </w:r>
        <w:r>
          <w:rPr>
            <w:color w:val="F5821F"/>
            <w:spacing w:val="14"/>
          </w:rPr>
          <w:t> </w:t>
        </w:r>
        <w:r>
          <w:rPr>
            <w:color w:val="F5821F"/>
          </w:rPr>
          <w:t>2021</w:t>
        </w:r>
        <w:r>
          <w:rPr>
            <w:color w:val="F5821F"/>
            <w:spacing w:val="15"/>
          </w:rPr>
          <w:t> </w:t>
        </w:r>
        <w:r>
          <w:rPr>
            <w:color w:val="F5821F"/>
          </w:rPr>
          <w:t>–</w:t>
        </w:r>
        <w:r>
          <w:rPr>
            <w:color w:val="F5821F"/>
            <w:spacing w:val="14"/>
          </w:rPr>
          <w:t> </w:t>
        </w:r>
        <w:r>
          <w:rPr>
            <w:color w:val="F5821F"/>
            <w:spacing w:val="-4"/>
          </w:rPr>
          <w:t>2023</w:t>
        </w:r>
      </w:hyperlink>
    </w:p>
    <w:p>
      <w:pPr>
        <w:pStyle w:val="BodyText"/>
        <w:spacing w:before="41"/>
        <w:rPr>
          <w:sz w:val="24"/>
        </w:rPr>
      </w:pPr>
    </w:p>
    <w:p>
      <w:pPr>
        <w:pStyle w:val="Heading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AFFILIATIONS</w:t>
      </w:r>
    </w:p>
    <w:p>
      <w:pPr>
        <w:pStyle w:val="BodyText"/>
        <w:spacing w:line="427" w:lineRule="auto" w:before="147"/>
        <w:ind w:left="351" w:right="229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1060346</wp:posOffset>
                </wp:positionH>
                <wp:positionV relativeFrom="paragraph">
                  <wp:posOffset>157795</wp:posOffset>
                </wp:positionV>
                <wp:extent cx="20955" cy="20955"/>
                <wp:effectExtent l="0" t="0" r="0" b="0"/>
                <wp:wrapNone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24847pt;width:1.65pt;height:1.65pt;mso-position-horizontal-relative:page;mso-position-vertical-relative:paragraph;z-index:15740928" id="docshape39" coordorigin="1670,248" coordsize="33,33" path="m1691,281l1682,281,1678,279,1671,273,1670,269,1670,260,1671,256,1678,250,1682,248,1691,248,1694,250,1701,256,1702,260,1702,265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1060346</wp:posOffset>
                </wp:positionH>
                <wp:positionV relativeFrom="paragraph">
                  <wp:posOffset>416161</wp:posOffset>
                </wp:positionV>
                <wp:extent cx="20955" cy="20955"/>
                <wp:effectExtent l="0" t="0" r="0" b="0"/>
                <wp:wrapNone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68593pt;width:1.65pt;height:1.65pt;mso-position-horizontal-relative:page;mso-position-vertical-relative:paragraph;z-index:15741440" id="docshape40" coordorigin="1670,655" coordsize="33,33" path="m1691,688l1682,688,1678,686,1671,680,1670,676,1670,667,1671,663,1678,657,1682,655,1691,655,1694,657,1701,663,1702,667,1702,672,1702,676,1701,680,1694,686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Colorado Bar Association, Tax Section, Executive Council </w:t>
      </w:r>
      <w:r>
        <w:rPr>
          <w:color w:val="6E6158"/>
        </w:rPr>
        <w:t>Member Denver Estate Planning Council</w:t>
      </w:r>
    </w:p>
    <w:p>
      <w:pPr>
        <w:pStyle w:val="BodyText"/>
        <w:spacing w:line="420" w:lineRule="auto"/>
        <w:ind w:left="351" w:right="497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1060346</wp:posOffset>
                </wp:positionH>
                <wp:positionV relativeFrom="paragraph">
                  <wp:posOffset>54565</wp:posOffset>
                </wp:positionV>
                <wp:extent cx="20955" cy="20955"/>
                <wp:effectExtent l="0" t="0" r="0" b="0"/>
                <wp:wrapNone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296529pt;width:1.65pt;height:1.65pt;mso-position-horizontal-relative:page;mso-position-vertical-relative:paragraph;z-index:15741952" id="docshape41" coordorigin="1670,86" coordsize="33,33" path="m1691,118l1682,118,1678,117,1671,111,1670,107,1670,98,1671,94,1678,88,1682,86,1691,86,1694,88,1701,94,1702,98,1702,102,1702,107,1701,111,1694,117,1691,11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1060346</wp:posOffset>
                </wp:positionH>
                <wp:positionV relativeFrom="paragraph">
                  <wp:posOffset>318098</wp:posOffset>
                </wp:positionV>
                <wp:extent cx="20955" cy="20955"/>
                <wp:effectExtent l="0" t="0" r="0" b="0"/>
                <wp:wrapNone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04714pt;width:1.65pt;height:1.65pt;mso-position-horizontal-relative:page;mso-position-vertical-relative:paragraph;z-index:15742464" id="docshape42" coordorigin="1670,501" coordsize="33,33" path="m1691,533l1682,533,1678,532,1671,526,1670,522,1670,513,1671,509,1678,503,1682,501,1691,501,1694,503,1701,509,1702,513,1702,517,1702,522,1701,526,1694,532,1691,5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TaxForward (formerly Future Tax </w:t>
      </w:r>
      <w:r>
        <w:rPr>
          <w:color w:val="6E6158"/>
        </w:rPr>
        <w:t>Leaders) The Exiter Club</w:t>
      </w:r>
    </w:p>
    <w:p>
      <w:pPr>
        <w:pStyle w:val="Heading1"/>
        <w:spacing w:before="152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line="302" w:lineRule="auto" w:before="146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1060346</wp:posOffset>
                </wp:positionH>
                <wp:positionV relativeFrom="paragraph">
                  <wp:posOffset>250742</wp:posOffset>
                </wp:positionV>
                <wp:extent cx="20955" cy="20955"/>
                <wp:effectExtent l="0" t="0" r="0" b="0"/>
                <wp:wrapNone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743469pt;width:1.65pt;height:1.65pt;mso-position-horizontal-relative:page;mso-position-vertical-relative:paragraph;z-index:15742976" id="docshape43" coordorigin="1670,395" coordsize="33,33" path="m1691,427l1682,427,1678,426,1671,419,1670,416,1670,407,1671,403,1678,396,1682,395,1691,395,1694,396,1701,403,1702,407,1702,411,1702,416,1701,419,1694,426,1691,42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</w:t>
      </w:r>
      <w:hyperlink r:id="rId16">
        <w:r>
          <w:rPr>
            <w:color w:val="F5821F"/>
          </w:rPr>
          <w:t>Business Contracts in 2025: Straightforward Answers for Nuanced </w:t>
        </w:r>
        <w:r>
          <w:rPr>
            <w:color w:val="F5821F"/>
          </w:rPr>
          <w:t>Situations</w:t>
        </w:r>
      </w:hyperlink>
      <w:r>
        <w:rPr>
          <w:color w:val="6E6158"/>
        </w:rPr>
        <w:t>,” Fennemore Blog, August 14, 2025</w:t>
      </w:r>
    </w:p>
    <w:p>
      <w:pPr>
        <w:pStyle w:val="Heading1"/>
        <w:spacing w:before="275"/>
      </w:pPr>
      <w:r>
        <w:rPr>
          <w:color w:val="FF8100"/>
          <w:spacing w:val="-2"/>
        </w:rPr>
        <w:t>ADMISSIONS</w:t>
      </w:r>
    </w:p>
    <w:p>
      <w:pPr>
        <w:pStyle w:val="BodyText"/>
        <w:spacing w:before="146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1060346</wp:posOffset>
                </wp:positionH>
                <wp:positionV relativeFrom="paragraph">
                  <wp:posOffset>157540</wp:posOffset>
                </wp:positionV>
                <wp:extent cx="20955" cy="20955"/>
                <wp:effectExtent l="0" t="0" r="0" b="0"/>
                <wp:wrapNone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04727pt;width:1.65pt;height:1.65pt;mso-position-horizontal-relative:page;mso-position-vertical-relative:paragraph;z-index:15743488" id="docshape44" coordorigin="1670,248" coordsize="33,33" path="m1691,281l1682,281,1678,279,1671,273,1670,269,1670,260,1671,256,1678,250,1682,248,1691,248,1694,250,1701,256,1702,260,1702,264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Colorado</w:t>
      </w:r>
    </w:p>
    <w:p>
      <w:pPr>
        <w:pStyle w:val="BodyText"/>
        <w:spacing w:before="174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1060346</wp:posOffset>
                </wp:positionH>
                <wp:positionV relativeFrom="paragraph">
                  <wp:posOffset>175269</wp:posOffset>
                </wp:positionV>
                <wp:extent cx="20955" cy="20955"/>
                <wp:effectExtent l="0" t="0" r="0" b="0"/>
                <wp:wrapNone/>
                <wp:docPr id="45" name="Graphic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Graphic 4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00772pt;width:1.65pt;height:1.65pt;mso-position-horizontal-relative:page;mso-position-vertical-relative:paragraph;z-index:15744000" id="docshape45" coordorigin="1670,276" coordsize="33,33" path="m1691,309l1682,309,1678,307,1671,301,1670,297,1670,288,1671,284,1678,278,1682,276,1691,276,1694,278,1701,284,1702,288,1702,292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United</w:t>
      </w:r>
      <w:r>
        <w:rPr>
          <w:color w:val="6E6158"/>
          <w:spacing w:val="7"/>
        </w:rPr>
        <w:t> </w:t>
      </w:r>
      <w:r>
        <w:rPr>
          <w:color w:val="6E6158"/>
        </w:rPr>
        <w:t>States</w:t>
      </w:r>
      <w:r>
        <w:rPr>
          <w:color w:val="6E6158"/>
          <w:spacing w:val="6"/>
        </w:rPr>
        <w:t> </w:t>
      </w:r>
      <w:r>
        <w:rPr>
          <w:color w:val="6E6158"/>
        </w:rPr>
        <w:t>Tax</w:t>
      </w:r>
      <w:r>
        <w:rPr>
          <w:color w:val="6E6158"/>
          <w:spacing w:val="7"/>
        </w:rPr>
        <w:t> </w:t>
      </w:r>
      <w:r>
        <w:rPr>
          <w:color w:val="6E6158"/>
          <w:spacing w:val="-2"/>
        </w:rPr>
        <w:t>Court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and-finance/" TargetMode="External"/><Relationship Id="rId9" Type="http://schemas.openxmlformats.org/officeDocument/2006/relationships/hyperlink" Target="https://www.fennemorelaw.com/contact-us/denver-2/" TargetMode="External"/><Relationship Id="rId10" Type="http://schemas.openxmlformats.org/officeDocument/2006/relationships/hyperlink" Target="mailto:nthompson@fennemorelaw.com" TargetMode="External"/><Relationship Id="rId11" Type="http://schemas.openxmlformats.org/officeDocument/2006/relationships/hyperlink" Target="https://www.fennemorelaw.com/services/mergers-acquisitions/" TargetMode="External"/><Relationship Id="rId12" Type="http://schemas.openxmlformats.org/officeDocument/2006/relationships/hyperlink" Target="https://www.fennemorelaw.com/fennemore-represents-xybyx-in-strategic-sale-to-highland-rim-capital/" TargetMode="External"/><Relationship Id="rId13" Type="http://schemas.openxmlformats.org/officeDocument/2006/relationships/hyperlink" Target="https://www.fennemorelaw.com/fennemore-represents-the-cfo-project-in-significant-business-sale/" TargetMode="External"/><Relationship Id="rId14" Type="http://schemas.openxmlformats.org/officeDocument/2006/relationships/hyperlink" Target="https://www.fennemorelaw.com/fennemore-represents-argus-professional-storage-management-in-a-significant-contribution-agreement/" TargetMode="External"/><Relationship Id="rId15" Type="http://schemas.openxmlformats.org/officeDocument/2006/relationships/hyperlink" Target="https://profiles.superlawyers.com/colorado/denver/lawyer/nicholas-hager-thompson/d69415ab-fe8d-4c8e-b2c7-df2324ac3073.html" TargetMode="External"/><Relationship Id="rId16" Type="http://schemas.openxmlformats.org/officeDocument/2006/relationships/hyperlink" Target="https://www.fennemorelaw.com/business-contracts-in-2025-straightforward-answers-for-nuanced-situations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Nicholas H. Thompson - Fennemore</dc:title>
  <dcterms:created xsi:type="dcterms:W3CDTF">2026-03-07T01:34:03Z</dcterms:created>
  <dcterms:modified xsi:type="dcterms:W3CDTF">2026-03-07T01:34:03Z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2026-03-07T00:00:00Z</vt:filetime>
  </property>
  <property fmtid="{D5CDD505-2E9C-101B-9397-08002B2CF9AE}" pid="3" name="Creator">
    <vt:lpwstr>Mozilla/5.0 (X11; Linux x86_64) AppleWebKit/537.36 (KHTML, like Gecko) Chrome/145.0.0.0 Safari/537.36</vt:lpwstr>
  </property>
  <property fmtid="{D5CDD505-2E9C-101B-9397-08002B2CF9AE}" pid="4" name="LastSaved">
    <vt:filetime>2026-03-07T00:00:00Z</vt:filetime>
  </property>
  <property fmtid="{D5CDD505-2E9C-101B-9397-08002B2CF9AE}" pid="5" name="Producer">
    <vt:lpwstr>Skia/PDF m142</vt:lpwstr>
  </property>
</Properties>
</file>