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5" w:lineRule="auto" w:before="1"/>
        <w:ind w:left="99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arah Strun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1892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17647" y="763308"/>
                            <a:ext cx="208533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SARAH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STRUNK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95812" y="1859626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9394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39152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50535" y="2226505"/>
                            <a:ext cx="14192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sstrunk@fennemorelaw.com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50310" y="3482163"/>
                            <a:ext cx="278765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follow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directions,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anything.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-Sarah's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30873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SARAH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STRUNK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Sarah Strunk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6877;top:-5016;width:3264;height:505" id="docshape6" coordorigin="6878,-5016" coordsize="3264,505" path="m10141,-4520l6878,-4520,6878,-4511,10141,-4511,10141,-4520xm10141,-5016l6878,-5016,6878,-5008,10141,-5008,10141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5;top:-5971;width:328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SARAH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STRUNK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4244;width:83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5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602.916.5327</w:t>
                        </w:r>
                      </w:p>
                    </w:txbxContent>
                  </v:textbox>
                  <w10:wrap type="none"/>
                </v:shape>
                <v:shape style="position:absolute;left:8799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400;top:-3667;width:2235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sstrunk@fennemorelaw.com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935;top:-1689;width:4390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read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follow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directions,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anything.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-Sarah's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Mom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061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SARAH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STRUNK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Sarah practices business and finance law, with an emphasis on mergers and acquisitions,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 and secured lending. She has substantial experience with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sales contracts.</w:t>
      </w:r>
      <w:r>
        <w:rPr>
          <w:color w:val="6E6158"/>
          <w:spacing w:val="80"/>
        </w:rPr>
        <w:t> </w:t>
      </w:r>
      <w:r>
        <w:rPr>
          <w:color w:val="6E6158"/>
        </w:rPr>
        <w:t>Sarah represents numerous clients in the mining and natural resource industry and in sports and entertainment.</w:t>
      </w:r>
    </w:p>
    <w:p>
      <w:pPr>
        <w:pStyle w:val="BodyText"/>
        <w:spacing w:line="292" w:lineRule="auto" w:before="204"/>
        <w:ind w:left="99" w:right="284"/>
      </w:pPr>
      <w:r>
        <w:rPr>
          <w:color w:val="6E6158"/>
        </w:rPr>
        <w:t>As a child, Sarah was inspired to become an attorney after watching episodes of “Perry Mason.”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23"/>
        </w:rPr>
        <w:t> </w:t>
      </w:r>
      <w:r>
        <w:rPr>
          <w:color w:val="6E6158"/>
        </w:rPr>
        <w:t>always</w:t>
      </w:r>
      <w:r>
        <w:rPr>
          <w:color w:val="6E6158"/>
          <w:spacing w:val="23"/>
        </w:rPr>
        <w:t> </w:t>
      </w:r>
      <w:r>
        <w:rPr>
          <w:color w:val="6E6158"/>
        </w:rPr>
        <w:t>thought</w:t>
      </w:r>
      <w:r>
        <w:rPr>
          <w:color w:val="6E6158"/>
          <w:spacing w:val="23"/>
        </w:rPr>
        <w:t> </w:t>
      </w:r>
      <w:r>
        <w:rPr>
          <w:color w:val="6E6158"/>
        </w:rPr>
        <w:t>it</w:t>
      </w:r>
      <w:r>
        <w:rPr>
          <w:color w:val="6E6158"/>
          <w:spacing w:val="23"/>
        </w:rPr>
        <w:t> </w:t>
      </w:r>
      <w:r>
        <w:rPr>
          <w:color w:val="6E6158"/>
        </w:rPr>
        <w:t>was</w:t>
      </w:r>
      <w:r>
        <w:rPr>
          <w:color w:val="6E6158"/>
          <w:spacing w:val="23"/>
        </w:rPr>
        <w:t> </w:t>
      </w:r>
      <w:r>
        <w:rPr>
          <w:color w:val="6E6158"/>
        </w:rPr>
        <w:t>great</w:t>
      </w:r>
      <w:r>
        <w:rPr>
          <w:color w:val="6E6158"/>
          <w:spacing w:val="23"/>
        </w:rPr>
        <w:t> </w:t>
      </w:r>
      <w:r>
        <w:rPr>
          <w:color w:val="6E6158"/>
        </w:rPr>
        <w:t>that</w:t>
      </w:r>
      <w:r>
        <w:rPr>
          <w:color w:val="6E6158"/>
          <w:spacing w:val="23"/>
        </w:rPr>
        <w:t> </w:t>
      </w:r>
      <w:r>
        <w:rPr>
          <w:color w:val="6E6158"/>
        </w:rPr>
        <w:t>Perry</w:t>
      </w:r>
      <w:r>
        <w:rPr>
          <w:color w:val="6E6158"/>
          <w:spacing w:val="23"/>
        </w:rPr>
        <w:t> </w:t>
      </w:r>
      <w:r>
        <w:rPr>
          <w:color w:val="6E6158"/>
        </w:rPr>
        <w:t>Mason</w:t>
      </w:r>
      <w:r>
        <w:rPr>
          <w:color w:val="6E6158"/>
          <w:spacing w:val="23"/>
        </w:rPr>
        <w:t> </w:t>
      </w:r>
      <w:r>
        <w:rPr>
          <w:color w:val="6E6158"/>
        </w:rPr>
        <w:t>got</w:t>
      </w:r>
      <w:r>
        <w:rPr>
          <w:color w:val="6E6158"/>
          <w:spacing w:val="23"/>
        </w:rPr>
        <w:t> </w:t>
      </w:r>
      <w:r>
        <w:rPr>
          <w:color w:val="6E6158"/>
        </w:rPr>
        <w:t>people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confess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stand.</w:t>
      </w:r>
      <w:r>
        <w:rPr>
          <w:color w:val="6E6158"/>
          <w:spacing w:val="23"/>
        </w:rPr>
        <w:t> </w:t>
      </w:r>
      <w:r>
        <w:rPr>
          <w:color w:val="6E6158"/>
        </w:rPr>
        <w:t>Today, she’s</w:t>
      </w:r>
      <w:r>
        <w:rPr>
          <w:color w:val="6E6158"/>
          <w:spacing w:val="31"/>
        </w:rPr>
        <w:t> </w:t>
      </w:r>
      <w:r>
        <w:rPr>
          <w:color w:val="6E6158"/>
        </w:rPr>
        <w:t>inspired</w:t>
      </w:r>
      <w:r>
        <w:rPr>
          <w:color w:val="6E6158"/>
          <w:spacing w:val="31"/>
        </w:rPr>
        <w:t> </w:t>
      </w:r>
      <w:r>
        <w:rPr>
          <w:color w:val="6E6158"/>
        </w:rPr>
        <w:t>by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smart,</w:t>
      </w:r>
      <w:r>
        <w:rPr>
          <w:color w:val="6E6158"/>
          <w:spacing w:val="31"/>
        </w:rPr>
        <w:t> </w:t>
      </w:r>
      <w:r>
        <w:rPr>
          <w:color w:val="6E6158"/>
        </w:rPr>
        <w:t>risk-taking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who</w:t>
      </w:r>
      <w:r>
        <w:rPr>
          <w:color w:val="6E6158"/>
          <w:spacing w:val="31"/>
        </w:rPr>
        <w:t> </w:t>
      </w:r>
      <w:r>
        <w:rPr>
          <w:color w:val="6E6158"/>
        </w:rPr>
        <w:t>build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develop</w:t>
      </w:r>
      <w:r>
        <w:rPr>
          <w:color w:val="6E6158"/>
          <w:spacing w:val="31"/>
        </w:rPr>
        <w:t> </w:t>
      </w:r>
      <w:r>
        <w:rPr>
          <w:color w:val="6E6158"/>
        </w:rPr>
        <w:t>amazing</w:t>
      </w:r>
      <w:r>
        <w:rPr>
          <w:color w:val="6E6158"/>
          <w:spacing w:val="31"/>
        </w:rPr>
        <w:t> </w:t>
      </w:r>
      <w:r>
        <w:rPr>
          <w:color w:val="6E6158"/>
        </w:rPr>
        <w:t>companies.</w:t>
      </w:r>
    </w:p>
    <w:p>
      <w:pPr>
        <w:pStyle w:val="BodyText"/>
        <w:spacing w:line="302" w:lineRule="auto" w:before="197"/>
        <w:ind w:left="99" w:right="413"/>
      </w:pPr>
      <w:r>
        <w:rPr>
          <w:color w:val="6E6158"/>
        </w:rPr>
        <w:t>Outside the office, Sarah enjoys gardening, cooking and entertaining. When she travels, it’s</w:t>
      </w:r>
      <w:r>
        <w:rPr>
          <w:color w:val="6E6158"/>
          <w:spacing w:val="40"/>
        </w:rPr>
        <w:t> </w:t>
      </w:r>
      <w:r>
        <w:rPr>
          <w:color w:val="6E6158"/>
        </w:rPr>
        <w:t>often to a location where she and her husband can scuba dive.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49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158095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503pt;width:1.65pt;height:1.65pt;mso-position-horizontal-relative:page;mso-position-vertical-relative:paragraph;z-index:15729152" id="docshape16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416461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248pt;width:1.65pt;height:1.65pt;mso-position-horizontal-relative:page;mso-position-vertical-relative:paragraph;z-index:15729664" id="docshape17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 New York University School of </w:t>
      </w:r>
      <w:r>
        <w:rPr>
          <w:color w:val="6E6158"/>
        </w:rPr>
        <w:t>Law J.D., University of Kansas School of Law</w:t>
      </w:r>
    </w:p>
    <w:p>
      <w:pPr>
        <w:spacing w:line="242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63741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9021pt;width:1.65pt;height:1.65pt;mso-position-horizontal-relative:page;mso-position-vertical-relative:paragraph;z-index:15730176" id="docshape18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Wichita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</w:t>
      </w:r>
      <w:r>
        <w:rPr>
          <w:color w:val="6E6158"/>
          <w:spacing w:val="-2"/>
          <w:sz w:val="19"/>
        </w:rPr>
        <w:t>e</w:t>
      </w:r>
    </w:p>
    <w:p>
      <w:pPr>
        <w:pStyle w:val="BodyText"/>
        <w:spacing w:before="39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2" w:lineRule="auto"/>
        <w:ind w:left="351" w:right="72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64865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7519pt;width:1.65pt;height:1.65pt;mso-position-horizontal-relative:page;mso-position-vertical-relative:paragraph;z-index:15730688" id="docshape19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323231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51262pt;width:1.65pt;height:1.65pt;mso-position-horizontal-relative:page;mso-position-vertical-relative:paragraph;z-index:15731200" id="docshape20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586763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201878pt;width:1.65pt;height:1.65pt;mso-position-horizontal-relative:page;mso-position-vertical-relative:paragraph;z-index:15731712" id="docshape21" coordorigin="1670,924" coordsize="33,33" path="m1691,957l1682,957,1678,955,1671,949,1670,945,1670,936,1671,932,1678,926,1682,924,1691,924,1694,926,1701,932,1702,936,1702,940,1702,945,1701,949,1694,955,1691,9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Sports Law</w:t>
      </w:r>
      <w:r>
        <w:rPr>
          <w:color w:val="6E6158"/>
          <w:spacing w:val="8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 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2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2" w:lineRule="auto" w:before="174"/>
        <w:ind w:left="351" w:right="6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2736" id="docshape2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49pt;width:1.65pt;height:1.65pt;mso-position-horizontal-relative:page;mso-position-vertical-relative:paragraph;z-index:15733248" id="docshape24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692068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93599pt;width:1.65pt;height:1.65pt;mso-position-horizontal-relative:page;mso-position-vertical-relative:paragraph;z-index:15733760" id="docshape25" coordorigin="1670,1090" coordsize="33,33" path="m1691,1122l1682,1122,1678,1121,1671,1114,1670,1111,1670,1102,1671,1098,1678,1091,1682,1090,1691,1090,1694,1091,1701,1098,1702,1102,1702,1106,1702,1111,1701,1114,1694,1121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Gaming &amp; Hospitality Mergers &amp; Acquisitions 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2"/>
        <w:spacing w:before="3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2" w:lineRule="auto" w:before="147"/>
        <w:ind w:left="351" w:right="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245794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3918pt;width:1.65pt;height:1.65pt;mso-position-horizontal-relative:page;mso-position-vertical-relative:paragraph;z-index:15734272" id="docshape26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buyer in the acquisition of all the aggregate assets of an international</w:t>
      </w:r>
      <w:r>
        <w:rPr>
          <w:color w:val="6E6158"/>
          <w:spacing w:val="40"/>
        </w:rPr>
        <w:t> </w:t>
      </w:r>
      <w:r>
        <w:rPr>
          <w:color w:val="6E6158"/>
        </w:rPr>
        <w:t>cement conglomerate in Ecuador.</w:t>
      </w:r>
    </w:p>
    <w:p>
      <w:pPr>
        <w:pStyle w:val="BodyText"/>
        <w:spacing w:line="292" w:lineRule="auto" w:before="131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235899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781pt;width:1.65pt;height:1.65pt;mso-position-horizontal-relative:page;mso-position-vertical-relative:paragraph;z-index:15734784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international banking interests lending to mining and other natural </w:t>
      </w:r>
      <w:r>
        <w:rPr>
          <w:color w:val="6E6158"/>
        </w:rPr>
        <w:t>resource </w:t>
      </w:r>
      <w:r>
        <w:rPr>
          <w:color w:val="6E6158"/>
          <w:spacing w:val="-2"/>
        </w:rPr>
        <w:t>companies.</w:t>
      </w:r>
    </w:p>
    <w:p>
      <w:pPr>
        <w:pStyle w:val="BodyText"/>
        <w:spacing w:line="292" w:lineRule="auto" w:before="124"/>
        <w:ind w:left="351" w:right="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230996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8711pt;width:1.65pt;height:1.65pt;mso-position-horizontal-relative:page;mso-position-vertical-relative:paragraph;z-index:15735296" id="docshape28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an American company in the creation of a joint venture involving a Chinese firm to develop a manufacturing plant in central China.</w:t>
      </w:r>
    </w:p>
    <w:p>
      <w:pPr>
        <w:pStyle w:val="BodyText"/>
        <w:spacing w:line="292" w:lineRule="auto" w:before="131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235706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589pt;width:1.65pt;height:1.65pt;mso-position-horizontal-relative:page;mso-position-vertical-relative:paragraph;z-index:15735808" id="docshape2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Special Committee of the Board of Directors of Unisource Energy in connection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proposed</w:t>
      </w:r>
      <w:r>
        <w:rPr>
          <w:color w:val="6E6158"/>
          <w:spacing w:val="30"/>
        </w:rPr>
        <w:t> </w:t>
      </w:r>
      <w:r>
        <w:rPr>
          <w:color w:val="6E6158"/>
        </w:rPr>
        <w:t>merger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subsidiary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KKR,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proxy</w:t>
      </w:r>
      <w:r>
        <w:rPr>
          <w:color w:val="6E6158"/>
          <w:spacing w:val="30"/>
        </w:rPr>
        <w:t> </w:t>
      </w:r>
      <w:r>
        <w:rPr>
          <w:color w:val="6E6158"/>
        </w:rPr>
        <w:t>statement</w:t>
      </w:r>
      <w:r>
        <w:rPr>
          <w:color w:val="6E6158"/>
          <w:spacing w:val="30"/>
        </w:rPr>
        <w:t> </w:t>
      </w:r>
      <w:r>
        <w:rPr>
          <w:color w:val="6E6158"/>
        </w:rPr>
        <w:t>review.</w:t>
      </w:r>
    </w:p>
    <w:p>
      <w:pPr>
        <w:pStyle w:val="BodyText"/>
        <w:spacing w:line="297" w:lineRule="auto" w:before="123"/>
        <w:ind w:left="351" w:right="44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323816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7341pt;width:1.65pt;height:1.65pt;mso-position-horizontal-relative:page;mso-position-vertical-relative:paragraph;z-index:15736320" id="docshape30" coordorigin="1670,510" coordsize="33,33" path="m1691,542l1682,542,1678,541,1671,535,1670,531,1670,522,1671,518,1678,512,1682,510,1691,510,1694,512,1701,518,1702,522,1702,526,1702,531,1701,535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 international M&amp;A transactions, on both buy and sell side, and involving stock or asset sales and purchases, including deals in South Africa, Mexico, Sweden and the United </w:t>
      </w:r>
      <w:r>
        <w:rPr>
          <w:color w:val="6E6158"/>
          <w:spacing w:val="-2"/>
        </w:rPr>
        <w:t>Kingdom.</w:t>
      </w:r>
    </w:p>
    <w:p>
      <w:pPr>
        <w:pStyle w:val="BodyText"/>
        <w:spacing w:line="297" w:lineRule="auto" w:before="118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320671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9723pt;width:1.65pt;height:1.65pt;mso-position-horizontal-relative:page;mso-position-vertical-relative:paragraph;z-index:15736832" id="docshape31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Involved in many mining, aggregates and other natural resource businesses, including joint</w:t>
      </w:r>
      <w:r>
        <w:rPr>
          <w:color w:val="6E6158"/>
          <w:spacing w:val="40"/>
        </w:rPr>
        <w:t> </w:t>
      </w:r>
      <w:r>
        <w:rPr>
          <w:color w:val="6E6158"/>
        </w:rPr>
        <w:t>ventures, exploration and development transactions, marketing agreements, secured </w:t>
      </w:r>
      <w:r>
        <w:rPr>
          <w:color w:val="6E6158"/>
        </w:rPr>
        <w:t>finance</w:t>
      </w:r>
      <w:r>
        <w:rPr>
          <w:color w:val="6E6158"/>
          <w:spacing w:val="40"/>
        </w:rPr>
        <w:t> </w:t>
      </w:r>
      <w:r>
        <w:rPr>
          <w:color w:val="6E6158"/>
        </w:rPr>
        <w:t>transactions, registrations statements.</w:t>
      </w:r>
    </w:p>
    <w:p>
      <w:pPr>
        <w:pStyle w:val="BodyText"/>
        <w:spacing w:before="118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139846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11536pt;width:1.65pt;height:1.65pt;mso-position-horizontal-relative:page;mso-position-vertical-relative:paragraph;z-index:15737344" id="docshape32" coordorigin="1670,220" coordsize="33,33" path="m1691,253l1682,253,1678,251,1671,245,1670,241,1670,232,1671,228,1678,222,1682,220,1691,220,1694,222,1701,228,1702,232,1702,237,1702,241,1701,245,1694,251,1691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</w:rPr>
        <w:t>entities,</w:t>
      </w:r>
      <w:r>
        <w:rPr>
          <w:color w:val="6E6158"/>
          <w:spacing w:val="12"/>
        </w:rPr>
        <w:t> </w:t>
      </w:r>
      <w:r>
        <w:rPr>
          <w:color w:val="6E6158"/>
        </w:rPr>
        <w:t>including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Sports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Tourism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Authority.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168329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4258pt;width:1.65pt;height:1.65pt;mso-position-horizontal-relative:page;mso-position-vertical-relative:paragraph;z-index:15737856" id="docshape33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Mining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2025</w:t>
      </w:r>
    </w:p>
    <w:p>
      <w:pPr>
        <w:spacing w:before="17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183851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6514pt;width:1.65pt;height:1.65pt;mso-position-horizontal-relative:page;mso-position-vertical-relative:paragraph;z-index:15738368" id="docshape34" coordorigin="1670,290" coordsize="33,33" path="m1691,322l1682,322,1678,320,1671,314,1670,310,1670,301,1671,297,1678,291,1682,290,1691,290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 of the 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Securities Regulation, 2022 and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line="288" w:lineRule="auto" w:before="165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272065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422441pt;width:1.65pt;height:1.65pt;mso-position-horizontal-relative:page;mso-position-vertical-relative:paragraph;z-index:15738880" id="docshape35" coordorigin="1670,428" coordsize="33,33" path="m1691,461l1682,461,1678,459,1671,453,1670,449,1670,440,1671,436,1678,430,1682,428,1691,428,1694,430,1701,436,1702,440,1702,445,1702,449,1701,453,1694,459,1691,4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</w:rPr>
        <w:t>, Corporate Law, Mergers and Acquisitions Law, Mining </w:t>
      </w:r>
      <w:r>
        <w:rPr>
          <w:color w:val="6E6158"/>
        </w:rPr>
        <w:t>Law, Securities/Capital Markets Law, Securities Regulation, 2007-2025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145736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5278pt;width:1.65pt;height:1.65pt;mso-position-horizontal-relative:page;mso-position-vertical-relative:paragraph;z-index:15739392" id="docshape36" coordorigin="1670,230" coordsize="33,33" path="m1691,262l1682,262,1678,260,1671,254,1670,250,1670,241,1671,237,1678,231,1682,230,1691,230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USA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4"/>
          <w:sz w:val="19"/>
        </w:rPr>
        <w:t>2024</w:t>
      </w:r>
    </w:p>
    <w:p>
      <w:pPr>
        <w:spacing w:before="17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183795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2095pt;width:1.65pt;height:1.65pt;mso-position-horizontal-relative:page;mso-position-vertical-relative:paragraph;z-index:15739904" id="docshape37" coordorigin="1670,289" coordsize="33,33" path="m1691,322l1682,322,1678,320,1671,314,1670,310,1670,301,1671,297,1678,291,1682,289,1691,289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Mining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2018,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line="400" w:lineRule="auto" w:before="165"/>
        <w:ind w:left="351" w:right="101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178997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094254pt;width:1.65pt;height:1.65pt;mso-position-horizontal-relative:page;mso-position-vertical-relative:paragraph;z-index:15740416" id="docshape38" coordorigin="1670,282" coordsize="33,33" path="m1691,314l1682,314,1678,313,1671,306,1670,303,1670,294,1671,290,1678,283,1682,282,1691,282,1694,283,1701,290,1702,294,1702,298,1702,303,1701,306,1694,313,1691,3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463199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472382pt;width:1.65pt;height:1.65pt;mso-position-horizontal-relative:page;mso-position-vertical-relative:paragraph;z-index:15740928" id="docshape39" coordorigin="1670,729" coordsize="33,33" path="m1691,762l1682,762,1678,760,1671,754,1670,750,1670,741,1671,737,1678,731,1682,729,1691,729,1694,731,1701,737,1702,741,1702,746,1702,750,1701,754,1694,760,1691,7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742234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8.443684pt;width:1.65pt;height:1.65pt;mso-position-horizontal-relative:page;mso-position-vertical-relative:paragraph;z-index:15741440" id="docshape40" coordorigin="1670,1169" coordsize="33,33" path="m1691,1201l1682,1201,1678,1200,1671,1193,1670,1190,1670,1181,1671,1177,1678,1170,1682,1169,1691,1169,1694,1170,1701,1177,1702,1181,1702,1185,1702,1190,1701,1193,1694,1200,1691,12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Lawyer of the Year, Mergers and Acquisitions Law, 2017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Lawyer of the Year, Securities/Capital Markets Law, 2016 </w:t>
      </w: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Mergers and Acquisitions, 2007-2024, 2026</w:t>
      </w:r>
    </w:p>
    <w:p>
      <w:pPr>
        <w:pStyle w:val="BodyText"/>
        <w:spacing w:line="408" w:lineRule="auto" w:before="15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69341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459961pt;width:1.65pt;height:1.65pt;mso-position-horizontal-relative:page;mso-position-vertical-relative:paragraph;z-index:15741952" id="docshape41" coordorigin="1670,109" coordsize="33,33" path="m1691,142l1682,142,1678,140,1671,134,1670,130,1670,121,1671,117,1678,111,1682,109,1691,109,1694,111,1701,117,1702,121,1702,125,1702,130,1701,134,1694,140,1691,1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332874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2106pt;width:1.65pt;height:1.65pt;mso-position-horizontal-relative:page;mso-position-vertical-relative:paragraph;z-index:15742464" id="docshape42" coordorigin="1670,524" coordsize="33,33" path="m1691,557l1682,557,1678,555,1671,549,1670,545,1670,536,1671,532,1678,526,1682,524,1691,524,1694,526,1701,532,1702,536,1702,540,1702,545,1701,549,1694,555,1691,5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David Bruno Award for Distinguished Service, Greater Phoenix Chamber of Commerce, 2019</w:t>
      </w:r>
      <w:r>
        <w:rPr>
          <w:color w:val="6E6158"/>
          <w:spacing w:val="40"/>
        </w:rPr>
        <w:t> </w:t>
      </w:r>
      <w:r>
        <w:rPr>
          <w:color w:val="6E6158"/>
        </w:rPr>
        <w:t>Outstanding Women in Business, </w:t>
      </w:r>
      <w:r>
        <w:rPr>
          <w:i/>
          <w:color w:val="6E6158"/>
          <w:sz w:val="20"/>
        </w:rPr>
        <w:t>Phoenix Business Journal, </w:t>
      </w:r>
      <w:r>
        <w:rPr>
          <w:color w:val="6E6158"/>
        </w:rPr>
        <w:t>2019</w:t>
      </w:r>
    </w:p>
    <w:p>
      <w:pPr>
        <w:spacing w:line="236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65531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59984pt;width:1.65pt;height:1.65pt;mso-position-horizontal-relative:page;mso-position-vertical-relative:paragraph;z-index:15742976" id="docshape43" coordorigin="1670,103" coordsize="33,33" path="m1691,136l1682,136,1678,134,1671,128,1670,124,1670,115,1671,111,1678,105,1682,103,1691,103,1694,105,1701,111,1702,115,1702,119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AZ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Leader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2019,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174025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2774pt;width:1.65pt;height:1.65pt;mso-position-horizontal-relative:page;mso-position-vertical-relative:paragraph;z-index:15743488" id="docshape44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100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Lawyers,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184144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9592pt;width:1.65pt;height:1.65pt;mso-position-horizontal-relative:page;mso-position-vertical-relative:paragraph;z-index:15744000" id="docshape45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Women,</w:t>
      </w:r>
      <w:r>
        <w:rPr>
          <w:color w:val="6E6158"/>
          <w:spacing w:val="-10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173543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4879pt;width:1.65pt;height:1.65pt;mso-position-horizontal-relative:page;mso-position-vertical-relative:paragraph;z-index:15744512" id="docshape46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International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Who’s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Who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Mining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, 2011-</w:t>
      </w:r>
      <w:r>
        <w:rPr>
          <w:color w:val="6E6158"/>
          <w:spacing w:val="-4"/>
          <w:sz w:val="19"/>
        </w:rPr>
        <w:t>2016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173963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788pt;width:1.65pt;height:1.65pt;mso-position-horizontal-relative:page;mso-position-vertical-relative:paragraph;z-index:15745024" id="docshape47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50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Most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Influential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Women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Arizona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5536" id="docshape4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Arizona’s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173901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3016pt;width:1.65pt;height:1.65pt;mso-position-horizontal-relative:page;mso-position-vertical-relative:paragraph;z-index:15746048" id="docshape49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Magazine’s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Who’s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Who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184020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9836pt;width:1.65pt;height:1.65pt;mso-position-horizontal-relative:page;mso-position-vertical-relative:paragraph;z-index:15746560" id="docshape50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Heading2"/>
        <w:spacing w:before="21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245426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4930pt;width:1.65pt;height:1.65pt;mso-position-horizontal-relative:page;mso-position-vertical-relative:paragraph;z-index:15747072" id="docshape51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“If you can read and follow directions, you can do anything,” Fennemore Blog,</w:t>
      </w:r>
      <w:r>
        <w:rPr>
          <w:color w:val="6E6158"/>
          <w:spacing w:val="40"/>
        </w:rPr>
        <w:t> </w:t>
      </w:r>
      <w:r>
        <w:rPr>
          <w:color w:val="6E6158"/>
        </w:rPr>
        <w:t>August 26, 2021</w:t>
      </w:r>
    </w:p>
    <w:p>
      <w:pPr>
        <w:pStyle w:val="BodyText"/>
        <w:spacing w:line="302" w:lineRule="auto" w:before="124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236166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795pt;width:1.65pt;height:1.65pt;mso-position-horizontal-relative:page;mso-position-vertical-relative:paragraph;z-index:15747584" id="docshape52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F8100"/>
          </w:rPr>
          <w:t>Co-author, “SBA Provides Much-Needed Safe-Harbor for PPP Loans Under $2 </w:t>
        </w:r>
        <w:r>
          <w:rPr>
            <w:color w:val="FF8100"/>
          </w:rPr>
          <w:t>Million,”</w:t>
        </w:r>
      </w:hyperlink>
      <w:r>
        <w:rPr>
          <w:color w:val="FF8100"/>
        </w:rPr>
        <w:t> </w:t>
      </w:r>
      <w:hyperlink r:id="rId11">
        <w:r>
          <w:rPr>
            <w:color w:val="FF8100"/>
          </w:rPr>
          <w:t>Fennemore Client Alert, May 15, 2020</w:t>
        </w:r>
      </w:hyperlink>
    </w:p>
    <w:p>
      <w:pPr>
        <w:pStyle w:val="BodyText"/>
        <w:spacing w:line="292" w:lineRule="auto" w:before="112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223873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7817pt;width:1.65pt;height:1.65pt;mso-position-horizontal-relative:page;mso-position-vertical-relative:paragraph;z-index:15748096" id="docshape53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 “The Small Business Association Tightens Loophole that Allowed Public </w:t>
        </w:r>
        <w:r>
          <w:rPr>
            <w:color w:val="FF8100"/>
          </w:rPr>
          <w:t>Companies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</w:rPr>
          <w:t>to Receive CARES Act Funding,” Fennemore Client Alert, April 24, 2020</w:t>
        </w:r>
      </w:hyperlink>
    </w:p>
    <w:p>
      <w:pPr>
        <w:pStyle w:val="BodyText"/>
        <w:spacing w:line="302" w:lineRule="auto" w:before="124"/>
        <w:ind w:left="351"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236203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696pt;width:1.65pt;height:1.65pt;mso-position-horizontal-relative:page;mso-position-vertical-relative:paragraph;z-index:15748608" id="docshape5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Co-author, “The Federal Reserve’s Main Street Lending Program,” Fennemore Client Alert, April</w:t>
        </w:r>
      </w:hyperlink>
      <w:r>
        <w:rPr>
          <w:color w:val="FF8100"/>
          <w:spacing w:val="40"/>
        </w:rPr>
        <w:t> </w:t>
      </w:r>
      <w:hyperlink r:id="rId13">
        <w:r>
          <w:rPr>
            <w:color w:val="FF8100"/>
          </w:rPr>
          <w:t>21, 2020</w:t>
        </w:r>
      </w:hyperlink>
    </w:p>
    <w:p>
      <w:pPr>
        <w:pStyle w:val="BodyText"/>
        <w:spacing w:line="408" w:lineRule="auto" w:before="112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136068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4082pt;width:1.65pt;height:1.65pt;mso-position-horizontal-relative:page;mso-position-vertical-relative:paragraph;z-index:15749120" id="docshape55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394434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57829pt;width:1.65pt;height:1.65pt;mso-position-horizontal-relative:page;mso-position-vertical-relative:paragraph;z-index:15749632" id="docshape56" coordorigin="1670,621" coordsize="33,33" path="m1691,654l1682,654,1678,652,1671,646,1670,642,1670,633,1671,629,1678,623,1682,621,1691,621,1694,623,1701,629,1702,633,1702,637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CARES Act – What You Need to Know Now,” Arizona Nonprofits, April 2, 2020 Quoted, “Payroll help for companies hurt by pandemic,”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March 31, 2020</w:t>
      </w:r>
    </w:p>
    <w:p>
      <w:pPr>
        <w:pStyle w:val="BodyText"/>
        <w:spacing w:line="244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65496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57219pt;width:1.65pt;height:1.65pt;mso-position-horizontal-relative:page;mso-position-vertical-relative:paragraph;z-index:15750144" id="docshape57" coordorigin="1670,103" coordsize="33,33" path="m1691,136l1682,136,1678,134,1671,128,1670,124,1670,115,1671,111,1678,105,1682,103,1691,103,1694,105,1701,111,1702,115,1702,119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6"/>
        </w:rPr>
        <w:t> </w:t>
      </w:r>
      <w:r>
        <w:rPr>
          <w:color w:val="6E6158"/>
        </w:rPr>
        <w:t>“Payroll</w:t>
      </w:r>
      <w:r>
        <w:rPr>
          <w:color w:val="6E6158"/>
          <w:spacing w:val="7"/>
        </w:rPr>
        <w:t> </w:t>
      </w:r>
      <w:r>
        <w:rPr>
          <w:color w:val="6E6158"/>
        </w:rPr>
        <w:t>help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6"/>
        </w:rPr>
        <w:t> </w:t>
      </w:r>
      <w:r>
        <w:rPr>
          <w:color w:val="6E6158"/>
        </w:rPr>
        <w:t>companies</w:t>
      </w:r>
      <w:r>
        <w:rPr>
          <w:color w:val="6E6158"/>
          <w:spacing w:val="7"/>
        </w:rPr>
        <w:t> </w:t>
      </w:r>
      <w:r>
        <w:rPr>
          <w:color w:val="6E6158"/>
        </w:rPr>
        <w:t>hurt</w:t>
      </w:r>
      <w:r>
        <w:rPr>
          <w:color w:val="6E6158"/>
          <w:spacing w:val="7"/>
        </w:rPr>
        <w:t> </w:t>
      </w:r>
      <w:r>
        <w:rPr>
          <w:color w:val="6E6158"/>
        </w:rPr>
        <w:t>by</w:t>
      </w:r>
      <w:r>
        <w:rPr>
          <w:color w:val="6E6158"/>
          <w:spacing w:val="7"/>
        </w:rPr>
        <w:t> </w:t>
      </w:r>
      <w:r>
        <w:rPr>
          <w:color w:val="6E6158"/>
        </w:rPr>
        <w:t>pandemic,”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Chamber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News</w:t>
      </w:r>
      <w:r>
        <w:rPr>
          <w:color w:val="6E6158"/>
        </w:rPr>
        <w:t>,</w:t>
      </w:r>
      <w:r>
        <w:rPr>
          <w:color w:val="6E6158"/>
          <w:spacing w:val="7"/>
        </w:rPr>
        <w:t> </w:t>
      </w:r>
      <w:r>
        <w:rPr>
          <w:color w:val="6E6158"/>
        </w:rPr>
        <w:t>March</w:t>
      </w:r>
      <w:r>
        <w:rPr>
          <w:color w:val="6E6158"/>
          <w:spacing w:val="6"/>
        </w:rPr>
        <w:t> </w:t>
      </w:r>
      <w:r>
        <w:rPr>
          <w:color w:val="6E6158"/>
        </w:rPr>
        <w:t>31,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2"/>
        <w:ind w:left="351"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261833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16817pt;width:1.65pt;height:1.65pt;mso-position-horizontal-relative:page;mso-position-vertical-relative:paragraph;z-index:15750656" id="docshape58" coordorigin="1670,412" coordsize="33,33" path="m1691,445l1682,445,1678,443,1671,437,1670,433,1670,424,1671,420,1678,414,1682,412,1691,412,1694,414,1701,420,1702,424,1702,429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Author, “The CARES Act – Paycheck Protection Program,” Fennemore Client Alert, March 27,</w:t>
        </w:r>
      </w:hyperlink>
      <w:r>
        <w:rPr>
          <w:color w:val="FF8100"/>
        </w:rPr>
        <w:t> </w:t>
      </w:r>
      <w:hyperlink r:id="rId14"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143053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033pt;width:1.65pt;height:1.65pt;mso-position-horizontal-relative:page;mso-position-vertical-relative:paragraph;z-index:15751168" id="docshape5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5"/>
        </w:rPr>
        <w:t> </w:t>
      </w:r>
      <w:r>
        <w:rPr>
          <w:color w:val="6E6158"/>
        </w:rPr>
        <w:t>“Women</w:t>
      </w:r>
      <w:r>
        <w:rPr>
          <w:color w:val="6E6158"/>
          <w:spacing w:val="6"/>
        </w:rPr>
        <w:t> </w:t>
      </w:r>
      <w:r>
        <w:rPr>
          <w:color w:val="6E6158"/>
        </w:rPr>
        <w:t>Who</w:t>
      </w:r>
      <w:r>
        <w:rPr>
          <w:color w:val="6E6158"/>
          <w:spacing w:val="6"/>
        </w:rPr>
        <w:t> </w:t>
      </w:r>
      <w:r>
        <w:rPr>
          <w:color w:val="6E6158"/>
        </w:rPr>
        <w:t>Inspire,”</w:t>
      </w:r>
      <w:r>
        <w:rPr>
          <w:color w:val="6E6158"/>
          <w:spacing w:val="5"/>
        </w:rPr>
        <w:t> </w:t>
      </w:r>
      <w:r>
        <w:rPr>
          <w:i/>
          <w:color w:val="6E6158"/>
          <w:sz w:val="20"/>
        </w:rPr>
        <w:t>Welum,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</w:rPr>
        <w:t>Summer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2019</w:t>
      </w:r>
    </w:p>
    <w:p>
      <w:pPr>
        <w:spacing w:line="278" w:lineRule="auto" w:before="170"/>
        <w:ind w:left="351" w:right="14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266962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20672pt;width:1.65pt;height:1.65pt;mso-position-horizontal-relative:page;mso-position-vertical-relative:paragraph;z-index:15751680" id="docshape60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“Will Fox Restaurant Concepts be ‘Cheesecakeized’ in Wake of Buyout?”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z w:val="20"/>
        </w:rPr>
        <w:t> Business Journal</w:t>
      </w:r>
      <w:r>
        <w:rPr>
          <w:color w:val="6E6158"/>
          <w:sz w:val="19"/>
        </w:rPr>
        <w:t>, August 2, 2019</w:t>
      </w:r>
    </w:p>
    <w:p>
      <w:pPr>
        <w:pStyle w:val="BodyText"/>
        <w:spacing w:line="292" w:lineRule="auto" w:before="133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236984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60164pt;width:1.65pt;height:1.65pt;mso-position-horizontal-relative:page;mso-position-vertical-relative:paragraph;z-index:15752192" id="docshape61" coordorigin="1670,373" coordsize="33,33" path="m1691,406l1682,406,1678,404,1671,398,1670,394,1670,385,1671,381,1678,375,1682,373,1691,373,1694,375,1701,381,1702,385,1702,389,1702,394,1701,398,1694,404,1691,4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“Corporate Audits,” 65th Annual Rocky Mountain Mineral Law Institute </w:t>
      </w:r>
      <w:r>
        <w:rPr>
          <w:color w:val="6E6158"/>
        </w:rPr>
        <w:t>Summer Conference,” RMMLF, July 2019</w:t>
      </w:r>
    </w:p>
    <w:p>
      <w:pPr>
        <w:pStyle w:val="BodyText"/>
        <w:spacing w:line="288" w:lineRule="auto" w:before="121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235979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041pt;width:1.65pt;height:1.65pt;mso-position-horizontal-relative:page;mso-position-vertical-relative:paragraph;z-index:15752704" id="docshape6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“Greater Phoenix Chamber Signs ONE Community’s UNITY Pledge,” </w:t>
      </w:r>
      <w:r>
        <w:rPr>
          <w:i/>
          <w:color w:val="6E6158"/>
          <w:sz w:val="20"/>
        </w:rPr>
        <w:t>AZ Big </w:t>
      </w:r>
      <w:r>
        <w:rPr>
          <w:i/>
          <w:color w:val="6E6158"/>
          <w:sz w:val="20"/>
        </w:rPr>
        <w:t>Media</w:t>
      </w:r>
      <w:r>
        <w:rPr>
          <w:color w:val="6E6158"/>
        </w:rPr>
        <w:t>, April 25, 2019</w:t>
      </w:r>
    </w:p>
    <w:p>
      <w:pPr>
        <w:spacing w:line="278" w:lineRule="auto" w:before="118"/>
        <w:ind w:left="351" w:right="1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234001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25287pt;width:1.65pt;height:1.65pt;mso-position-horizontal-relative:page;mso-position-vertical-relative:paragraph;z-index:15753216" id="docshape63" coordorigin="1670,369" coordsize="33,33" path="m1691,401l1682,401,1678,399,1671,393,1670,389,1670,380,1671,376,1678,370,1682,369,1691,369,1694,370,1701,376,1702,380,1702,385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“Preliminary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Agreements,”</w:t>
      </w:r>
      <w:r>
        <w:rPr>
          <w:color w:val="6E6158"/>
          <w:spacing w:val="-6"/>
          <w:sz w:val="19"/>
        </w:rPr>
        <w:t> </w:t>
      </w:r>
      <w:r>
        <w:rPr>
          <w:i/>
          <w:color w:val="6E6158"/>
          <w:sz w:val="20"/>
        </w:rPr>
        <w:t>Mining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Minerals,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Practical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Guide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Life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Cycle</w:t>
      </w:r>
      <w:r>
        <w:rPr>
          <w:i/>
          <w:color w:val="6E6158"/>
          <w:sz w:val="20"/>
        </w:rPr>
        <w:t> of a Mining Project, </w:t>
      </w:r>
      <w:r>
        <w:rPr>
          <w:color w:val="6E6158"/>
          <w:sz w:val="19"/>
        </w:rPr>
        <w:t>Global Law and Business, 2018</w:t>
      </w:r>
    </w:p>
    <w:p>
      <w:pPr>
        <w:spacing w:line="278" w:lineRule="auto" w:before="131"/>
        <w:ind w:left="351" w:right="14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242207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1453pt;width:1.65pt;height:1.65pt;mso-position-horizontal-relative:page;mso-position-vertical-relative:paragraph;z-index:15753728" id="docshape64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“High-Profile Attorney Takes Over as Phoenix Chamber Board Chair,” </w:t>
      </w:r>
      <w:r>
        <w:rPr>
          <w:i/>
          <w:color w:val="6E6158"/>
          <w:sz w:val="20"/>
        </w:rPr>
        <w:t>Phoenix Business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October 30, 2018</w:t>
      </w:r>
    </w:p>
    <w:p>
      <w:pPr>
        <w:pStyle w:val="BodyText"/>
        <w:spacing w:line="302" w:lineRule="auto" w:before="133"/>
        <w:ind w:left="351" w:right="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242161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67833pt;width:1.65pt;height:1.65pt;mso-position-horizontal-relative:page;mso-position-vertical-relative:paragraph;z-index:15754240" id="docshape65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“Women Who Run the Show,” Turnaround Management Association </w:t>
      </w:r>
      <w:r>
        <w:rPr>
          <w:color w:val="6E6158"/>
        </w:rPr>
        <w:t>Arizona Chapter, June 19, 2018</w:t>
      </w:r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131144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6351pt;width:1.65pt;height:1.65pt;mso-position-horizontal-relative:page;mso-position-vertical-relative:paragraph;z-index:15754752" id="docshape66" coordorigin="1670,207" coordsize="33,33" path="m1691,239l1682,239,1678,237,1671,231,1670,227,1670,218,1671,214,1678,208,1682,207,1691,207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4"/>
        </w:rPr>
        <w:t> </w:t>
      </w:r>
      <w:r>
        <w:rPr>
          <w:color w:val="6E6158"/>
        </w:rPr>
        <w:t>“Competing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Global</w:t>
      </w:r>
      <w:r>
        <w:rPr>
          <w:color w:val="6E6158"/>
          <w:spacing w:val="15"/>
        </w:rPr>
        <w:t> </w:t>
      </w:r>
      <w:r>
        <w:rPr>
          <w:color w:val="6E6158"/>
        </w:rPr>
        <w:t>Market,”</w:t>
      </w:r>
      <w:r>
        <w:rPr>
          <w:color w:val="6E6158"/>
          <w:spacing w:val="14"/>
        </w:rPr>
        <w:t> </w:t>
      </w:r>
      <w:r>
        <w:rPr>
          <w:color w:val="6E6158"/>
        </w:rPr>
        <w:t>ACOEP’s</w:t>
      </w:r>
      <w:r>
        <w:rPr>
          <w:color w:val="6E6158"/>
          <w:spacing w:val="14"/>
        </w:rPr>
        <w:t> </w:t>
      </w:r>
      <w:r>
        <w:rPr>
          <w:color w:val="6E6158"/>
        </w:rPr>
        <w:t>Scientific</w:t>
      </w:r>
      <w:r>
        <w:rPr>
          <w:color w:val="6E6158"/>
          <w:spacing w:val="14"/>
        </w:rPr>
        <w:t> </w:t>
      </w:r>
      <w:r>
        <w:rPr>
          <w:color w:val="6E6158"/>
        </w:rPr>
        <w:t>Assembly,</w:t>
      </w:r>
      <w:r>
        <w:rPr>
          <w:color w:val="6E6158"/>
          <w:spacing w:val="15"/>
        </w:rPr>
        <w:t> </w:t>
      </w:r>
      <w:r>
        <w:rPr>
          <w:color w:val="6E6158"/>
        </w:rPr>
        <w:t>November</w:t>
      </w:r>
      <w:r>
        <w:rPr>
          <w:color w:val="6E6158"/>
          <w:spacing w:val="14"/>
        </w:rPr>
        <w:t> </w:t>
      </w:r>
      <w:r>
        <w:rPr>
          <w:color w:val="6E6158"/>
        </w:rPr>
        <w:t>8,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262839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6037pt;width:1.65pt;height:1.65pt;mso-position-horizontal-relative:page;mso-position-vertical-relative:paragraph;z-index:15755264" id="docshape67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“Strategic Planning and Board Governance,” The Stepping Stones for a </w:t>
      </w:r>
      <w:r>
        <w:rPr>
          <w:color w:val="6E6158"/>
        </w:rPr>
        <w:t>Successful Nonprofit, Fennemore, September 21, 2017</w:t>
      </w:r>
    </w:p>
    <w:p>
      <w:pPr>
        <w:pStyle w:val="Heading2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245907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2791pt;width:1.65pt;height:1.65pt;mso-position-horizontal-relative:page;mso-position-vertical-relative:paragraph;z-index:15755776" id="docshape68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Chair, Board of Directors, Greater Phoenix Chamber of Commerce Former Board Chair</w:t>
      </w:r>
      <w:r>
        <w:rPr>
          <w:color w:val="6E6158"/>
          <w:spacing w:val="40"/>
        </w:rPr>
        <w:t> </w:t>
      </w:r>
      <w:r>
        <w:rPr>
          <w:color w:val="6E6158"/>
        </w:rPr>
        <w:t>and Board Member, Social Venture Partners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142999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83pt;width:1.65pt;height:1.65pt;mso-position-horizontal-relative:page;mso-position-vertical-relative:paragraph;z-index:15756288" id="docshape6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4"/>
        </w:rPr>
        <w:t> </w:t>
      </w:r>
      <w:r>
        <w:rPr>
          <w:color w:val="6E6158"/>
        </w:rPr>
        <w:t>Board</w:t>
      </w:r>
      <w:r>
        <w:rPr>
          <w:color w:val="6E6158"/>
          <w:spacing w:val="4"/>
        </w:rPr>
        <w:t> </w: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Valle</w:t>
      </w:r>
      <w:r>
        <w:rPr>
          <w:color w:val="6E6158"/>
          <w:spacing w:val="5"/>
        </w:rPr>
        <w:t> </w:t>
      </w:r>
      <w:r>
        <w:rPr>
          <w:color w:val="6E6158"/>
        </w:rPr>
        <w:t>del</w:t>
      </w:r>
      <w:r>
        <w:rPr>
          <w:color w:val="6E6158"/>
          <w:spacing w:val="4"/>
        </w:rPr>
        <w:t> </w:t>
      </w:r>
      <w:r>
        <w:rPr>
          <w:color w:val="6E6158"/>
          <w:spacing w:val="-5"/>
        </w:rPr>
        <w:t>Sol</w:t>
      </w:r>
    </w:p>
    <w:p>
      <w:pPr>
        <w:pStyle w:val="BodyText"/>
        <w:spacing w:line="302" w:lineRule="auto" w:before="174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684pt;width:1.65pt;height:1.65pt;mso-position-horizontal-relative:page;mso-position-vertical-relative:paragraph;z-index:15756800" id="docshape7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Teck Resources Limited (Teck) Board of Directors, 2021 to present, chair of the Safety</w:t>
      </w:r>
      <w:r>
        <w:rPr>
          <w:color w:val="6E6158"/>
          <w:spacing w:val="80"/>
        </w:rPr>
        <w:t> </w:t>
      </w:r>
      <w:r>
        <w:rPr>
          <w:color w:val="6E6158"/>
        </w:rPr>
        <w:t>&amp; Sustainability Committee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3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578pt;width:1.65pt;height:1.65pt;mso-position-horizontal-relative:page;mso-position-vertical-relative:paragraph;z-index:15757312" id="docshape71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Arizona Sonoran Copper Company (ASCU) Board of Directors, 2021 to present, Chair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Nominating</w:t>
      </w:r>
      <w:r>
        <w:rPr>
          <w:color w:val="6E6158"/>
          <w:spacing w:val="40"/>
        </w:rPr>
        <w:t>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Compensation </w:t>
      </w:r>
      <w:r>
        <w:rPr>
          <w:color w:val="6E6158"/>
          <w:spacing w:val="-2"/>
        </w:rPr>
        <w:t>Committee</w:t>
      </w:r>
    </w:p>
    <w:p>
      <w:pPr>
        <w:pStyle w:val="Heading2"/>
        <w:spacing w:before="158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left="351" w:right="7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157543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4982pt;width:1.65pt;height:1.65pt;mso-position-horizontal-relative:page;mso-position-vertical-relative:paragraph;z-index:15757824" id="docshape7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415908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73pt;width:1.65pt;height:1.65pt;mso-position-horizontal-relative:page;mso-position-vertical-relative:paragraph;z-index:15758336" id="docshape73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</w:t>
      </w:r>
    </w:p>
    <w:p>
      <w:pPr>
        <w:pStyle w:val="BodyText"/>
        <w:spacing w:line="422" w:lineRule="auto"/>
        <w:ind w:left="351" w:right="7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63823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512pt;width:1.65pt;height:1.65pt;mso-position-horizontal-relative:page;mso-position-vertical-relative:paragraph;z-index:15758848" id="docshape74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322189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9259pt;width:1.65pt;height:1.65pt;mso-position-horizontal-relative:page;mso-position-vertical-relative:paragraph;z-index:15759360" id="docshape75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585724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2006pt;width:1.65pt;height:1.65pt;mso-position-horizontal-relative:page;mso-position-vertical-relative:paragraph;z-index:15759872" id="docshape76" coordorigin="1670,922" coordsize="33,33" path="m1691,955l1682,955,1678,953,1671,947,1670,943,1670,934,1671,930,1678,924,1682,922,1691,922,1694,924,1701,930,1702,934,1702,939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Connecticut </w:t>
      </w:r>
      <w:r>
        <w:rPr>
          <w:color w:val="6E6158"/>
        </w:rPr>
        <w:t>New York </w:t>
      </w:r>
      <w:r>
        <w:rPr>
          <w:color w:val="6E6158"/>
          <w:spacing w:val="-2"/>
        </w:rPr>
        <w:t>Kansas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strunk@fennemorelaw.com" TargetMode="External"/><Relationship Id="rId11" Type="http://schemas.openxmlformats.org/officeDocument/2006/relationships/hyperlink" Target="https://www.fennemorelaw.com/insights/newsletters/2020/sba-provides-much-needed-safe-harbor-for-ppp-loans-under-2-million" TargetMode="External"/><Relationship Id="rId12" Type="http://schemas.openxmlformats.org/officeDocument/2006/relationships/hyperlink" Target="https://www.fennemorelaw.com/insights/newsletters/2020/the-small-business-association-tightens-loophole-that-allowed-public-companies-to-receive-cares-act-funding" TargetMode="External"/><Relationship Id="rId13" Type="http://schemas.openxmlformats.org/officeDocument/2006/relationships/hyperlink" Target="https://www.fennemorelaw.com/insights/newsletters/2020/the-federal-reserve-s-main-street-lending-program" TargetMode="External"/><Relationship Id="rId14" Type="http://schemas.openxmlformats.org/officeDocument/2006/relationships/hyperlink" Target="https://www.fennemorelaw.com/insights/newsletters/2020/the-cares-act---paycheck-protection-progra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A. Strunk - Fennemore</dc:title>
  <dcterms:created xsi:type="dcterms:W3CDTF">2026-03-18T19:53:52Z</dcterms:created>
  <dcterms:modified xsi:type="dcterms:W3CDTF">2026-03-18T19:53:52Z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m142</vt:lpwstr>
  </property>
</Properties>
</file>