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112"/>
        <w:ind w:left="0"/>
        <w:rPr>
          <w:rFonts w:ascii="Times New Roman"/>
          <w:sz w:val="24"/>
        </w:rPr>
      </w:pPr>
    </w:p>
    <w:p>
      <w:pPr>
        <w:spacing w:before="1"/>
        <w:ind w:left="99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448064">
                <wp:simplePos x="0" y="0"/>
                <wp:positionH relativeFrom="page">
                  <wp:posOffset>848486</wp:posOffset>
                </wp:positionH>
                <wp:positionV relativeFrom="paragraph">
                  <wp:posOffset>-4455423</wp:posOffset>
                </wp:positionV>
                <wp:extent cx="6071870" cy="45396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539615"/>
                          <a:chExt cx="6071870" cy="45396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888527"/>
                            <a:ext cx="6071870" cy="149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498600">
                                <a:moveTo>
                                  <a:pt x="6071591" y="1498520"/>
                                </a:moveTo>
                                <a:lnTo>
                                  <a:pt x="0" y="1498520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498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NEW Amy Abdo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668788" y="1369338"/>
                            <a:ext cx="17678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839" h="320675">
                                <a:moveTo>
                                  <a:pt x="176721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7217" y="320382"/>
                                </a:lnTo>
                                <a:lnTo>
                                  <a:pt x="1767217" y="315214"/>
                                </a:lnTo>
                                <a:close/>
                              </a:path>
                              <a:path w="1767839" h="320675">
                                <a:moveTo>
                                  <a:pt x="17672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7217" y="5168"/>
                                </a:lnTo>
                                <a:lnTo>
                                  <a:pt x="1767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877179" y="763308"/>
                            <a:ext cx="1365885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AMY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ABDO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670325" y="1859626"/>
                            <a:ext cx="1779905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602.916.5399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602.916.5599</w:t>
                              </w:r>
                            </w:p>
                            <w:p>
                              <w:pPr>
                                <w:spacing w:before="119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amy@fennemorelaw.com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9929" y="3405006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335508" y="3482163"/>
                            <a:ext cx="3416935" cy="488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8" w:lineRule="auto"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approach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every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high-stakes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case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steadfast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confidence,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deliberate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strategy,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unwavering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integrity,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advocating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outcomes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that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truly</w:t>
                              </w:r>
                            </w:p>
                            <w:p>
                              <w:pPr>
                                <w:spacing w:before="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matter.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857434" y="3405006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50.820709pt;width:478.1pt;height:357.45pt;mso-position-horizontal-relative:page;mso-position-vertical-relative:paragraph;z-index:-15868416" id="docshapegroup1" coordorigin="1336,-7016" coordsize="9562,7149">
                <v:rect style="position:absolute;left:1336;top:-2468;width:9562;height:2360" id="docshape2" filled="true" fillcolor="#002e6d" stroked="false">
                  <v:fill type="solid"/>
                </v:rect>
                <v:shape style="position:absolute;left:1336;top:-7017;width:2165;height:424" type="#_x0000_t75" id="docshape3" alt="Fennemore" href="https://www.fennemorelaw.com/" stroked="false">
                  <v:imagedata r:id="rId5" o:title=""/>
                </v:shape>
                <v:shape style="position:absolute;left:1336;top:-6594;width:4785;height:4126" type="#_x0000_t75" id="docshape4" alt="NEW Amy Abdo bio" stroked="false">
                  <v:imagedata r:id="rId7" o:title=""/>
                </v:shape>
                <v:rect style="position:absolute;left:6121;top:-6594;width:4777;height:4126" id="docshape5" filled="true" fillcolor="#262424" stroked="false">
                  <v:fill type="solid"/>
                </v:rect>
                <v:shape style="position:absolute;left:7113;top:-4860;width:2784;height:505" id="docshape6" coordorigin="7114,-4860" coordsize="2784,505" path="m9897,-4364l7114,-4364,7114,-4355,9897,-4355,9897,-4364xm9897,-4860l7114,-4860,7114,-4852,9897,-4852,9897,-4860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442;top:-5815;width:2151;height:1300" type="#_x0000_t202" id="docshape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AMY </w:t>
                        </w: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ABDO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116;top:-4088;width:2803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602.916.5399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602.916.5599</w:t>
                        </w:r>
                      </w:p>
                      <w:p>
                        <w:pPr>
                          <w:spacing w:before="119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amy@fennemorelaw.com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655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439;top:-1533;width:5381;height:770" type="#_x0000_t202" id="docshape10" filled="false" stroked="false">
                  <v:textbox inset="0,0,0,0">
                    <w:txbxContent>
                      <w:p>
                        <w:pPr>
                          <w:spacing w:line="348" w:lineRule="auto"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approach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every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high-stakes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case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with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steadfast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confidence,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deliberate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strategy,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unwavering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integrity,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advocating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for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outcomes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that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truly</w:t>
                        </w:r>
                      </w:p>
                      <w:p>
                        <w:pPr>
                          <w:spacing w:before="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matter.</w:t>
                        </w:r>
                      </w:p>
                    </w:txbxContent>
                  </v:textbox>
                  <w10:wrap type="none"/>
                </v:shape>
                <v:shape style="position:absolute;left:8985;top:-1655;width:725;height:1786" type="#_x0000_t202" id="docshape11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002E6B"/>
          <w:sz w:val="24"/>
        </w:rPr>
        <w:t>AMY</w:t>
      </w:r>
      <w:r>
        <w:rPr>
          <w:b/>
          <w:color w:val="002E6B"/>
          <w:spacing w:val="6"/>
          <w:sz w:val="24"/>
        </w:rPr>
        <w:t> </w:t>
      </w:r>
      <w:r>
        <w:rPr>
          <w:b/>
          <w:color w:val="002E6B"/>
          <w:spacing w:val="-4"/>
          <w:sz w:val="24"/>
        </w:rPr>
        <w:t>ABDO</w:t>
      </w:r>
    </w:p>
    <w:p>
      <w:pPr>
        <w:pStyle w:val="BodyText"/>
        <w:spacing w:line="302" w:lineRule="auto" w:before="146"/>
        <w:ind w:left="99" w:right="175"/>
        <w:jc w:val="both"/>
      </w:pPr>
      <w:r>
        <w:rPr>
          <w:color w:val="6E6158"/>
        </w:rPr>
        <w:t>Amy Abdo is widely recognized as a highly accomplished litigator who represents clients in high-stakes,</w:t>
      </w:r>
      <w:r>
        <w:rPr>
          <w:color w:val="6E6158"/>
          <w:spacing w:val="35"/>
        </w:rPr>
        <w:t> </w:t>
      </w:r>
      <w:r>
        <w:rPr>
          <w:color w:val="6E6158"/>
        </w:rPr>
        <w:t>complex</w:t>
      </w:r>
      <w:r>
        <w:rPr>
          <w:color w:val="6E6158"/>
          <w:spacing w:val="35"/>
        </w:rPr>
        <w:t> </w:t>
      </w:r>
      <w:r>
        <w:rPr>
          <w:color w:val="6E6158"/>
        </w:rPr>
        <w:t>disputes.</w:t>
      </w:r>
      <w:r>
        <w:rPr>
          <w:color w:val="6E6158"/>
          <w:spacing w:val="35"/>
        </w:rPr>
        <w:t> </w:t>
      </w:r>
      <w:r>
        <w:rPr>
          <w:color w:val="6E6158"/>
        </w:rPr>
        <w:t>Drawing</w:t>
      </w:r>
      <w:r>
        <w:rPr>
          <w:color w:val="6E6158"/>
          <w:spacing w:val="35"/>
        </w:rPr>
        <w:t> </w:t>
      </w:r>
      <w:r>
        <w:rPr>
          <w:color w:val="6E6158"/>
        </w:rPr>
        <w:t>on</w:t>
      </w:r>
      <w:r>
        <w:rPr>
          <w:color w:val="6E6158"/>
          <w:spacing w:val="35"/>
        </w:rPr>
        <w:t> </w:t>
      </w:r>
      <w:r>
        <w:rPr>
          <w:color w:val="6E6158"/>
        </w:rPr>
        <w:t>substantial</w:t>
      </w:r>
      <w:r>
        <w:rPr>
          <w:color w:val="6E6158"/>
          <w:spacing w:val="35"/>
        </w:rPr>
        <w:t> </w:t>
      </w:r>
      <w:r>
        <w:rPr>
          <w:color w:val="6E6158"/>
        </w:rPr>
        <w:t>courtroom</w:t>
      </w:r>
      <w:r>
        <w:rPr>
          <w:color w:val="6E6158"/>
          <w:spacing w:val="35"/>
        </w:rPr>
        <w:t> </w:t>
      </w:r>
      <w:r>
        <w:rPr>
          <w:color w:val="6E6158"/>
        </w:rPr>
        <w:t>experience,</w:t>
      </w:r>
      <w:r>
        <w:rPr>
          <w:color w:val="6E6158"/>
          <w:spacing w:val="35"/>
        </w:rPr>
        <w:t> </w:t>
      </w:r>
      <w:r>
        <w:rPr>
          <w:color w:val="6E6158"/>
        </w:rPr>
        <w:t>she</w:t>
      </w:r>
      <w:r>
        <w:rPr>
          <w:color w:val="6E6158"/>
          <w:spacing w:val="35"/>
        </w:rPr>
        <w:t> </w:t>
      </w:r>
      <w:r>
        <w:rPr>
          <w:color w:val="6E6158"/>
        </w:rPr>
        <w:t>brings</w:t>
      </w:r>
      <w:r>
        <w:rPr>
          <w:color w:val="6E6158"/>
          <w:spacing w:val="35"/>
        </w:rPr>
        <w:t> </w:t>
      </w:r>
      <w:r>
        <w:rPr>
          <w:color w:val="6E6158"/>
        </w:rPr>
        <w:t>a</w:t>
      </w:r>
      <w:r>
        <w:rPr>
          <w:color w:val="6E6158"/>
          <w:spacing w:val="35"/>
        </w:rPr>
        <w:t> </w:t>
      </w:r>
      <w:r>
        <w:rPr>
          <w:color w:val="6E6158"/>
        </w:rPr>
        <w:t>results-</w:t>
      </w:r>
    </w:p>
    <w:p>
      <w:pPr>
        <w:pStyle w:val="BodyText"/>
        <w:spacing w:line="297" w:lineRule="auto"/>
        <w:ind w:left="99" w:right="309"/>
        <w:jc w:val="both"/>
      </w:pPr>
      <w:r>
        <w:rPr>
          <w:color w:val="6E6158"/>
        </w:rPr>
        <w:t>driven, strategic approach to every matter. Pragmatic, organized, and efficient, Amy is known</w:t>
      </w:r>
      <w:r>
        <w:rPr>
          <w:color w:val="6E6158"/>
          <w:spacing w:val="40"/>
        </w:rPr>
        <w:t> </w:t>
      </w:r>
      <w:r>
        <w:rPr>
          <w:color w:val="6E6158"/>
        </w:rPr>
        <w:t>for her tenacity and resilience, earning a reputation as a formidable adversary in sophisticated </w:t>
      </w:r>
      <w:r>
        <w:rPr>
          <w:color w:val="6E6158"/>
          <w:spacing w:val="-2"/>
        </w:rPr>
        <w:t>litigation.</w:t>
      </w:r>
    </w:p>
    <w:p>
      <w:pPr>
        <w:pStyle w:val="BodyText"/>
        <w:spacing w:line="292" w:lineRule="auto" w:before="182"/>
        <w:ind w:left="99" w:right="389"/>
      </w:pPr>
      <w:r>
        <w:rPr>
          <w:color w:val="6E6158"/>
        </w:rPr>
        <w:t>Amy represents leading law firms and attorneys in the defense of professional liability claims. She</w:t>
      </w:r>
      <w:r>
        <w:rPr>
          <w:color w:val="6E6158"/>
          <w:spacing w:val="40"/>
        </w:rPr>
        <w:t> </w:t>
      </w:r>
      <w:r>
        <w:rPr>
          <w:color w:val="6E6158"/>
        </w:rPr>
        <w:t>also advises and defends businesses in complex commercial disputes and frequently litigates</w:t>
      </w:r>
      <w:r>
        <w:rPr>
          <w:color w:val="6E6158"/>
          <w:spacing w:val="40"/>
        </w:rPr>
        <w:t> </w:t>
      </w:r>
      <w:r>
        <w:rPr>
          <w:color w:val="6E6158"/>
        </w:rPr>
        <w:t>covenants</w:t>
      </w:r>
      <w:r>
        <w:rPr>
          <w:color w:val="6E6158"/>
          <w:spacing w:val="35"/>
        </w:rPr>
        <w:t> </w:t>
      </w:r>
      <w:r>
        <w:rPr>
          <w:color w:val="6E6158"/>
        </w:rPr>
        <w:t>not</w:t>
      </w:r>
      <w:r>
        <w:rPr>
          <w:color w:val="6E6158"/>
          <w:spacing w:val="35"/>
        </w:rPr>
        <w:t> </w:t>
      </w:r>
      <w:r>
        <w:rPr>
          <w:color w:val="6E6158"/>
        </w:rPr>
        <w:t>to</w:t>
      </w:r>
      <w:r>
        <w:rPr>
          <w:color w:val="6E6158"/>
          <w:spacing w:val="35"/>
        </w:rPr>
        <w:t> </w:t>
      </w:r>
      <w:r>
        <w:rPr>
          <w:color w:val="6E6158"/>
        </w:rPr>
        <w:t>compete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other</w:t>
      </w:r>
      <w:r>
        <w:rPr>
          <w:color w:val="6E6158"/>
          <w:spacing w:val="35"/>
        </w:rPr>
        <w:t> </w:t>
      </w:r>
      <w:r>
        <w:rPr>
          <w:color w:val="6E6158"/>
        </w:rPr>
        <w:t>restrictive</w:t>
      </w:r>
      <w:r>
        <w:rPr>
          <w:color w:val="6E6158"/>
          <w:spacing w:val="35"/>
        </w:rPr>
        <w:t> </w:t>
      </w:r>
      <w:r>
        <w:rPr>
          <w:color w:val="6E6158"/>
        </w:rPr>
        <w:t>covenants,</w:t>
      </w:r>
      <w:r>
        <w:rPr>
          <w:color w:val="6E6158"/>
          <w:spacing w:val="35"/>
        </w:rPr>
        <w:t> </w:t>
      </w:r>
      <w:r>
        <w:rPr>
          <w:color w:val="6E6158"/>
        </w:rPr>
        <w:t>often</w:t>
      </w:r>
      <w:r>
        <w:rPr>
          <w:color w:val="6E6158"/>
          <w:spacing w:val="35"/>
        </w:rPr>
        <w:t> </w:t>
      </w:r>
      <w:r>
        <w:rPr>
          <w:color w:val="6E6158"/>
        </w:rPr>
        <w:t>in</w:t>
      </w:r>
      <w:r>
        <w:rPr>
          <w:color w:val="6E6158"/>
          <w:spacing w:val="35"/>
        </w:rPr>
        <w:t> </w:t>
      </w:r>
      <w:r>
        <w:rPr>
          <w:color w:val="6E6158"/>
        </w:rPr>
        <w:t>expedited</w:t>
      </w:r>
      <w:r>
        <w:rPr>
          <w:color w:val="6E6158"/>
          <w:spacing w:val="35"/>
        </w:rPr>
        <w:t> </w:t>
      </w:r>
      <w:r>
        <w:rPr>
          <w:color w:val="6E6158"/>
        </w:rPr>
        <w:t>evidentiary</w:t>
      </w:r>
    </w:p>
    <w:p>
      <w:pPr>
        <w:pStyle w:val="BodyText"/>
        <w:spacing w:line="292" w:lineRule="auto" w:before="10"/>
        <w:ind w:left="99" w:right="427"/>
      </w:pPr>
      <w:r>
        <w:rPr>
          <w:color w:val="6E6158"/>
        </w:rPr>
        <w:t>proceedings. She defends employers against claims involving discrimination, harassment,</w:t>
      </w:r>
      <w:r>
        <w:rPr>
          <w:color w:val="6E6158"/>
          <w:spacing w:val="40"/>
        </w:rPr>
        <w:t> </w:t>
      </w:r>
      <w:r>
        <w:rPr>
          <w:color w:val="6E6158"/>
        </w:rPr>
        <w:t>breach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5"/>
        </w:rPr>
        <w:t> </w:t>
      </w:r>
      <w:r>
        <w:rPr>
          <w:color w:val="6E6158"/>
        </w:rPr>
        <w:t>contract,</w:t>
      </w:r>
      <w:r>
        <w:rPr>
          <w:color w:val="6E6158"/>
          <w:spacing w:val="14"/>
        </w:rPr>
        <w:t> </w:t>
      </w:r>
      <w:r>
        <w:rPr>
          <w:color w:val="6E6158"/>
        </w:rPr>
        <w:t>wrongful</w:t>
      </w:r>
      <w:r>
        <w:rPr>
          <w:color w:val="6E6158"/>
          <w:spacing w:val="15"/>
        </w:rPr>
        <w:t> </w:t>
      </w:r>
      <w:r>
        <w:rPr>
          <w:color w:val="6E6158"/>
        </w:rPr>
        <w:t>discharge,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other</w:t>
      </w:r>
      <w:r>
        <w:rPr>
          <w:color w:val="6E6158"/>
          <w:spacing w:val="15"/>
        </w:rPr>
        <w:t> </w:t>
      </w:r>
      <w:r>
        <w:rPr>
          <w:color w:val="6E6158"/>
        </w:rPr>
        <w:t>employment-related</w:t>
      </w:r>
      <w:r>
        <w:rPr>
          <w:color w:val="6E6158"/>
          <w:spacing w:val="14"/>
        </w:rPr>
        <w:t> </w:t>
      </w:r>
      <w:r>
        <w:rPr>
          <w:color w:val="6E6158"/>
        </w:rPr>
        <w:t>tort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contract</w:t>
      </w:r>
    </w:p>
    <w:p>
      <w:pPr>
        <w:pStyle w:val="BodyText"/>
        <w:spacing w:line="292" w:lineRule="auto" w:before="1"/>
        <w:ind w:left="99" w:right="180"/>
      </w:pPr>
      <w:r>
        <w:rPr>
          <w:color w:val="6E6158"/>
        </w:rPr>
        <w:t>matters. Amy regularly conducts workplace investigations and counsels employers on a </w:t>
      </w:r>
      <w:r>
        <w:rPr>
          <w:color w:val="6E6158"/>
        </w:rPr>
        <w:t>wide</w:t>
      </w:r>
      <w:r>
        <w:rPr>
          <w:color w:val="6E6158"/>
          <w:spacing w:val="40"/>
        </w:rPr>
        <w:t> </w:t>
      </w:r>
      <w:r>
        <w:rPr>
          <w:color w:val="6E6158"/>
        </w:rPr>
        <w:t>range of workplace issues.</w:t>
      </w:r>
    </w:p>
    <w:p>
      <w:pPr>
        <w:pStyle w:val="BodyText"/>
        <w:spacing w:line="292" w:lineRule="auto" w:before="205"/>
        <w:ind w:left="99" w:right="180"/>
      </w:pPr>
      <w:r>
        <w:rPr>
          <w:color w:val="6E6158"/>
        </w:rPr>
        <w:t>Adept at leading legal teams, Amy has broad experience across business litigation, </w:t>
      </w:r>
      <w:r>
        <w:rPr>
          <w:color w:val="6E6158"/>
        </w:rPr>
        <w:t>professional</w:t>
      </w:r>
      <w:r>
        <w:rPr>
          <w:color w:val="6E6158"/>
          <w:spacing w:val="40"/>
        </w:rPr>
        <w:t> </w:t>
      </w:r>
      <w:r>
        <w:rPr>
          <w:color w:val="6E6158"/>
        </w:rPr>
        <w:t>liability defense, employment law, and public records law. She is also a skilled negotiator, often</w:t>
      </w:r>
      <w:r>
        <w:rPr>
          <w:color w:val="6E6158"/>
          <w:spacing w:val="40"/>
        </w:rPr>
        <w:t> </w:t>
      </w:r>
      <w:r>
        <w:rPr>
          <w:color w:val="6E6158"/>
        </w:rPr>
        <w:t>achieving favorable resolutions in the most contentious matters.</w:t>
      </w:r>
    </w:p>
    <w:p>
      <w:pPr>
        <w:pStyle w:val="BodyText"/>
        <w:spacing w:line="297" w:lineRule="auto" w:before="197"/>
        <w:ind w:left="99" w:right="389"/>
      </w:pPr>
      <w:r>
        <w:rPr>
          <w:color w:val="6E6158"/>
        </w:rPr>
        <w:t>Amy is licensed to practice in Arizona, Nevada, and California and is experienced in numerous</w:t>
      </w:r>
      <w:r>
        <w:rPr>
          <w:color w:val="6E6158"/>
          <w:spacing w:val="40"/>
        </w:rPr>
        <w:t> </w:t>
      </w:r>
      <w:r>
        <w:rPr>
          <w:color w:val="6E6158"/>
        </w:rPr>
        <w:t>states in all phases of litigation, including bench and jury trials, arbitration, mediation, administrative proceedings, and investigations.</w:t>
      </w:r>
    </w:p>
    <w:p>
      <w:pPr>
        <w:pStyle w:val="BodyText"/>
        <w:spacing w:line="302" w:lineRule="auto" w:before="191"/>
        <w:ind w:left="99" w:right="389"/>
      </w:pPr>
      <w:r>
        <w:rPr>
          <w:color w:val="6E6158"/>
        </w:rPr>
        <w:t>A natural leader, she has served on the firm’s management committee, </w:t>
      </w:r>
      <w:r>
        <w:rPr>
          <w:color w:val="6E6158"/>
        </w:rPr>
        <w:t>compensation committee, and as litigation section chair.</w:t>
      </w:r>
    </w:p>
    <w:p>
      <w:pPr>
        <w:pStyle w:val="Heading2"/>
        <w:spacing w:before="152"/>
      </w:pPr>
      <w:r>
        <w:rPr>
          <w:color w:val="FF8100"/>
          <w:spacing w:val="-2"/>
        </w:rPr>
        <w:t>EDUCATION</w:t>
      </w:r>
    </w:p>
    <w:p>
      <w:pPr>
        <w:pStyle w:val="Heading2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29152" id="docshape12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</w:t>
      </w:r>
      <w:r>
        <w:rPr>
          <w:color w:val="6E6158"/>
          <w:spacing w:val="9"/>
        </w:rPr>
        <w:t> </w:t>
      </w:r>
      <w:r>
        <w:rPr>
          <w:color w:val="6E6158"/>
        </w:rPr>
        <w:t>University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San</w:t>
      </w:r>
      <w:r>
        <w:rPr>
          <w:color w:val="6E6158"/>
          <w:spacing w:val="10"/>
        </w:rPr>
        <w:t> </w:t>
      </w:r>
      <w:r>
        <w:rPr>
          <w:color w:val="6E6158"/>
        </w:rPr>
        <w:t>Diego</w:t>
      </w:r>
      <w:r>
        <w:rPr>
          <w:color w:val="6E6158"/>
          <w:spacing w:val="10"/>
        </w:rPr>
        <w:t> </w:t>
      </w:r>
      <w:r>
        <w:rPr>
          <w:color w:val="6E6158"/>
        </w:rPr>
        <w:t>School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175336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6053pt;width:1.65pt;height:1.65pt;mso-position-horizontal-relative:page;mso-position-vertical-relative:paragraph;z-index:15729664" id="docshape13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B.S.,</w:t>
      </w:r>
      <w:r>
        <w:rPr>
          <w:color w:val="6E6158"/>
          <w:spacing w:val="11"/>
        </w:rPr>
        <w:t> </w:t>
      </w:r>
      <w:r>
        <w:rPr>
          <w:color w:val="6E6158"/>
        </w:rPr>
        <w:t>San</w:t>
      </w:r>
      <w:r>
        <w:rPr>
          <w:color w:val="6E6158"/>
          <w:spacing w:val="11"/>
        </w:rPr>
        <w:t> </w:t>
      </w:r>
      <w:r>
        <w:rPr>
          <w:color w:val="6E6158"/>
        </w:rPr>
        <w:t>Diego</w:t>
      </w:r>
      <w:r>
        <w:rPr>
          <w:color w:val="6E6158"/>
          <w:spacing w:val="11"/>
        </w:rPr>
        <w:t> </w:t>
      </w:r>
      <w:r>
        <w:rPr>
          <w:color w:val="6E6158"/>
        </w:rPr>
        <w:t>State</w:t>
      </w:r>
      <w:r>
        <w:rPr>
          <w:color w:val="6E6158"/>
          <w:spacing w:val="11"/>
        </w:rPr>
        <w:t> </w:t>
      </w:r>
      <w:r>
        <w:rPr>
          <w:color w:val="6E6158"/>
        </w:rPr>
        <w:t>University,</w:t>
      </w:r>
      <w:r>
        <w:rPr>
          <w:color w:val="6E6158"/>
          <w:spacing w:val="11"/>
        </w:rPr>
        <w:t> </w:t>
      </w:r>
      <w:r>
        <w:rPr>
          <w:color w:val="6E6158"/>
        </w:rPr>
        <w:t>with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distinction,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175287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2144pt;width:1.65pt;height:1.65pt;mso-position-horizontal-relative:page;mso-position-vertical-relative:paragraph;z-index:15730176" id="docshape14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Former</w:t>
      </w:r>
      <w:r>
        <w:rPr>
          <w:color w:val="6E6158"/>
          <w:spacing w:val="13"/>
        </w:rPr>
        <w:t> </w:t>
      </w:r>
      <w:r>
        <w:rPr>
          <w:color w:val="6E6158"/>
        </w:rPr>
        <w:t>Judicial</w:t>
      </w:r>
      <w:r>
        <w:rPr>
          <w:color w:val="6E6158"/>
          <w:spacing w:val="13"/>
        </w:rPr>
        <w:t> </w:t>
      </w:r>
      <w:r>
        <w:rPr>
          <w:color w:val="6E6158"/>
        </w:rPr>
        <w:t>Extern,</w:t>
      </w:r>
      <w:r>
        <w:rPr>
          <w:color w:val="6E6158"/>
          <w:spacing w:val="13"/>
        </w:rPr>
        <w:t> </w:t>
      </w:r>
      <w:r>
        <w:rPr>
          <w:color w:val="6E6158"/>
        </w:rPr>
        <w:t>Court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Appeals,</w:t>
      </w:r>
      <w:r>
        <w:rPr>
          <w:color w:val="6E6158"/>
          <w:spacing w:val="13"/>
        </w:rPr>
        <w:t> </w:t>
      </w:r>
      <w:r>
        <w:rPr>
          <w:color w:val="6E6158"/>
        </w:rPr>
        <w:t>Fourth</w:t>
      </w:r>
      <w:r>
        <w:rPr>
          <w:color w:val="6E6158"/>
          <w:spacing w:val="13"/>
        </w:rPr>
        <w:t> </w:t>
      </w:r>
      <w:r>
        <w:rPr>
          <w:color w:val="6E6158"/>
        </w:rPr>
        <w:t>Appellate</w:t>
      </w:r>
      <w:r>
        <w:rPr>
          <w:color w:val="6E6158"/>
          <w:spacing w:val="13"/>
        </w:rPr>
        <w:t> </w:t>
      </w:r>
      <w:r>
        <w:rPr>
          <w:color w:val="6E6158"/>
        </w:rPr>
        <w:t>District,</w:t>
      </w:r>
      <w:r>
        <w:rPr>
          <w:color w:val="6E6158"/>
          <w:spacing w:val="13"/>
        </w:rPr>
        <w:t> </w:t>
      </w:r>
      <w:r>
        <w:rPr>
          <w:color w:val="6E6158"/>
        </w:rPr>
        <w:t>State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41"/>
        <w:ind w:left="0"/>
        <w:rPr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43"/>
        <w:ind w:left="0"/>
        <w:rPr>
          <w:b/>
        </w:rPr>
      </w:pPr>
    </w:p>
    <w:p>
      <w:pPr>
        <w:pStyle w:val="BodyText"/>
        <w:spacing w:before="1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65127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128113pt;width:1.65pt;height:1.65pt;mso-position-horizontal-relative:page;mso-position-vertical-relative:paragraph;z-index:15730688" id="docshape15" coordorigin="1670,103" coordsize="33,33" path="m1691,135l1682,135,1678,134,1671,127,1670,123,1670,114,1671,111,1678,104,1682,103,1691,103,1694,104,1701,111,1702,114,1702,119,1702,123,1701,127,1694,134,1691,13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Torts</w:t>
      </w:r>
    </w:p>
    <w:p>
      <w:pPr>
        <w:pStyle w:val="BodyText"/>
        <w:spacing w:line="420" w:lineRule="auto" w:before="182"/>
        <w:ind w:right="5577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174931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4158pt;width:1.65pt;height:1.65pt;mso-position-horizontal-relative:page;mso-position-vertical-relative:paragraph;z-index:15731200" id="docshape16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438464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52478pt;width:1.65pt;height:1.65pt;mso-position-horizontal-relative:page;mso-position-vertical-relative:paragraph;z-index:15731712" id="docshape17" coordorigin="1670,690" coordsize="33,33" path="m1691,723l1682,723,1678,721,1671,715,1670,711,1670,702,1671,698,1678,692,1682,690,1691,690,1694,692,1701,698,1702,702,1702,707,1702,711,1701,715,1694,721,1691,7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696830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4.86853pt;width:1.65pt;height:1.65pt;mso-position-horizontal-relative:page;mso-position-vertical-relative:paragraph;z-index:15732224" id="docshape18" coordorigin="1670,1097" coordsize="33,33" path="m1691,1130l1682,1130,1678,1128,1671,1122,1670,1118,1670,1109,1671,1105,1678,1099,1682,1097,1691,1097,1694,1099,1701,1105,1702,1109,1702,1114,1702,1118,1701,1122,1694,1128,1691,113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Commercial Contingency Litigation E-Discovery and Data </w:t>
      </w:r>
      <w:r>
        <w:rPr>
          <w:color w:val="6E6158"/>
        </w:rPr>
        <w:t>Management </w:t>
      </w:r>
      <w:r>
        <w:rPr>
          <w:color w:val="6E6158"/>
          <w:spacing w:val="-2"/>
        </w:rPr>
        <w:t>Litigation</w:t>
      </w:r>
    </w:p>
    <w:p>
      <w:pPr>
        <w:pStyle w:val="BodyText"/>
        <w:spacing w:before="5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63015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61842pt;width:1.65pt;height:1.65pt;mso-position-horizontal-relative:page;mso-position-vertical-relative:paragraph;z-index:15732736" id="docshape19" coordorigin="1670,99" coordsize="33,33" path="m1691,132l1682,132,1678,130,1671,124,1670,120,1670,111,1671,107,1678,101,1682,99,1691,99,1694,101,1701,107,1702,111,1702,116,1702,120,1701,124,1694,130,1691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Public</w:t>
      </w:r>
      <w:r>
        <w:rPr>
          <w:color w:val="6E6158"/>
          <w:spacing w:val="13"/>
        </w:rPr>
        <w:t> </w:t>
      </w:r>
      <w:r>
        <w:rPr>
          <w:color w:val="6E6158"/>
        </w:rPr>
        <w:t>Records</w:t>
      </w:r>
      <w:r>
        <w:rPr>
          <w:color w:val="6E6158"/>
          <w:spacing w:val="13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before="174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170280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407887pt;width:1.65pt;height:1.65pt;mso-position-horizontal-relative:page;mso-position-vertical-relative:paragraph;z-index:15733248" id="docshape20" coordorigin="1670,268" coordsize="33,33" path="m1691,301l1682,301,1678,299,1671,293,1670,289,1670,280,1671,276,1678,270,1682,268,1691,268,1694,270,1701,276,1702,280,1702,284,1702,289,1701,293,1694,299,1691,30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Tort</w:t>
      </w:r>
      <w:r>
        <w:rPr>
          <w:color w:val="6E6158"/>
          <w:spacing w:val="6"/>
        </w:rPr>
        <w:t> </w:t>
      </w:r>
      <w:r>
        <w:rPr>
          <w:color w:val="6E6158"/>
        </w:rPr>
        <w:t>and</w:t>
      </w:r>
      <w:r>
        <w:rPr>
          <w:color w:val="6E6158"/>
          <w:spacing w:val="8"/>
        </w:rPr>
        <w:t> </w:t>
      </w:r>
      <w:r>
        <w:rPr>
          <w:color w:val="6E6158"/>
        </w:rPr>
        <w:t>Insurance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ind w:left="0"/>
      </w:pPr>
    </w:p>
    <w:p>
      <w:pPr>
        <w:pStyle w:val="BodyText"/>
        <w:spacing w:before="66"/>
        <w:ind w:left="0"/>
      </w:pPr>
    </w:p>
    <w:p>
      <w:pPr>
        <w:pStyle w:val="BodyText"/>
        <w:spacing w:line="422" w:lineRule="auto"/>
        <w:ind w:right="671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64996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117865pt;width:1.65pt;height:1.65pt;mso-position-horizontal-relative:page;mso-position-vertical-relative:paragraph;z-index:15733760" id="docshape21" coordorigin="1670,102" coordsize="33,33" path="m1691,135l1682,135,1678,133,1671,127,1670,123,1670,114,1671,110,1678,104,1682,102,1691,102,1694,104,1701,110,1702,114,1702,119,1702,123,1701,127,1694,133,1691,13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323362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61615pt;width:1.65pt;height:1.65pt;mso-position-horizontal-relative:page;mso-position-vertical-relative:paragraph;z-index:15734272" id="docshape22" coordorigin="1670,509" coordsize="33,33" path="m1691,542l1682,542,1678,540,1671,534,1670,530,1670,521,1671,517,1678,511,1682,509,1691,509,1694,511,1701,517,1702,521,1702,526,1702,530,1701,534,1694,540,1691,54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581728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5.805363pt;width:1.65pt;height:1.65pt;mso-position-horizontal-relative:page;mso-position-vertical-relative:paragraph;z-index:15734784" id="docshape23" coordorigin="1670,916" coordsize="33,33" path="m1691,949l1682,949,1678,947,1671,941,1670,937,1670,928,1671,924,1678,918,1682,916,1691,916,1694,918,1701,924,1702,928,1702,932,1702,937,1701,941,1694,947,1691,94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Litigation Professional Liability Labor &amp; </w:t>
      </w:r>
      <w:r>
        <w:rPr>
          <w:color w:val="6E6158"/>
        </w:rPr>
        <w:t>Employment</w:t>
      </w:r>
    </w:p>
    <w:p>
      <w:pPr>
        <w:pStyle w:val="Heading2"/>
        <w:spacing w:before="161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CASES</w:t>
      </w:r>
    </w:p>
    <w:p>
      <w:pPr>
        <w:spacing w:line="285" w:lineRule="auto" w:before="146"/>
        <w:ind w:left="351" w:right="113" w:firstLine="0"/>
        <w:jc w:val="both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431372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3.966358pt;width:1.65pt;height:1.65pt;mso-position-horizontal-relative:page;mso-position-vertical-relative:paragraph;z-index:15735296" id="docshape24" coordorigin="1670,679" coordsize="33,33" path="m1691,712l1682,712,1678,710,1671,704,1670,700,1670,691,1671,687,1678,681,1682,679,1691,679,1694,681,1701,687,1702,691,1702,696,1702,700,1701,704,1694,710,1691,71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Published Opinions: McAlister v. Loeb &amp; Loeb, L.L.P., 571 P.3d 891 (Ariz. 2025) (lost profits in legal malpractice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case);</w:t>
      </w:r>
      <w:r>
        <w:rPr>
          <w:color w:val="6E6158"/>
          <w:spacing w:val="-4"/>
          <w:sz w:val="19"/>
        </w:rPr>
        <w:t> </w:t>
      </w:r>
      <w:r>
        <w:rPr>
          <w:i/>
          <w:color w:val="6E6158"/>
          <w:sz w:val="20"/>
        </w:rPr>
        <w:t>Malcolm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Farmers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New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World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Life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Insurance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Company</w:t>
      </w:r>
      <w:r>
        <w:rPr>
          <w:i/>
          <w:color w:val="6E6158"/>
          <w:spacing w:val="-7"/>
          <w:sz w:val="20"/>
        </w:rPr>
        <w:t> </w:t>
      </w:r>
      <w:r>
        <w:rPr>
          <w:color w:val="6E6158"/>
          <w:sz w:val="19"/>
        </w:rPr>
        <w:t>(1992)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4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Cal.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App. 4th 296 (life insurance case); and </w:t>
      </w:r>
      <w:r>
        <w:rPr>
          <w:i/>
          <w:color w:val="6E6158"/>
          <w:sz w:val="20"/>
        </w:rPr>
        <w:t>Smith v. Superior Court </w:t>
      </w:r>
      <w:r>
        <w:rPr>
          <w:color w:val="6E6158"/>
          <w:sz w:val="19"/>
        </w:rPr>
        <w:t>(1993) 10 Cal. App. 4th 1033 (legal</w:t>
      </w:r>
    </w:p>
    <w:p>
      <w:pPr>
        <w:pStyle w:val="BodyText"/>
        <w:spacing w:before="2"/>
      </w:pPr>
      <w:r>
        <w:rPr>
          <w:color w:val="6E6158"/>
          <w:spacing w:val="-2"/>
        </w:rPr>
        <w:t>malpractice).</w:t>
      </w:r>
    </w:p>
    <w:p>
      <w:pPr>
        <w:pStyle w:val="BodyText"/>
        <w:spacing w:line="297" w:lineRule="auto" w:before="174"/>
        <w:ind w:right="3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355931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8.026085pt;width:1.65pt;height:1.65pt;mso-position-horizontal-relative:page;mso-position-vertical-relative:paragraph;z-index:15735808" id="docshape25" coordorigin="1670,561" coordsize="33,33" path="m1691,593l1682,593,1678,591,1671,585,1670,581,1670,572,1671,568,1678,562,1682,561,1691,561,1694,562,1701,568,1702,572,1702,577,1702,581,1701,585,1694,591,1691,59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Secured dismissal of more than a dozen claims, including fraud, interference, abuse of</w:t>
      </w:r>
      <w:r>
        <w:rPr>
          <w:color w:val="6E6158"/>
          <w:spacing w:val="40"/>
        </w:rPr>
        <w:t> </w:t>
      </w:r>
      <w:r>
        <w:rPr>
          <w:color w:val="6E6158"/>
        </w:rPr>
        <w:t>process, breach of fiduciary duty, filed by a third party against a law firm, seeking over a</w:t>
      </w:r>
      <w:r>
        <w:rPr>
          <w:color w:val="6E6158"/>
          <w:spacing w:val="40"/>
        </w:rPr>
        <w:t> </w:t>
      </w:r>
      <w:r>
        <w:rPr>
          <w:color w:val="6E6158"/>
        </w:rPr>
        <w:t>billion dollars in damages (District Court – Clark County, Nevada).</w:t>
      </w:r>
    </w:p>
    <w:p>
      <w:pPr>
        <w:pStyle w:val="BodyText"/>
        <w:spacing w:line="292" w:lineRule="auto" w:before="118"/>
        <w:ind w:right="20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227389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904676pt;width:1.65pt;height:1.65pt;mso-position-horizontal-relative:page;mso-position-vertical-relative:paragraph;z-index:15736320" id="docshape26" coordorigin="1670,358" coordsize="33,33" path="m1691,391l1682,391,1678,389,1671,383,1670,379,1670,370,1671,366,1678,360,1682,358,1691,358,1694,360,1701,366,1702,370,1702,374,1702,379,1701,383,1694,389,1691,39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Secured defense verdict on legal malpractice claims, and a seven-figure award of attorneys’</w:t>
      </w:r>
      <w:r>
        <w:rPr>
          <w:color w:val="6E6158"/>
          <w:spacing w:val="40"/>
        </w:rPr>
        <w:t> </w:t>
      </w:r>
      <w:r>
        <w:rPr>
          <w:color w:val="6E6158"/>
        </w:rPr>
        <w:t>fees</w:t>
      </w:r>
      <w:r>
        <w:rPr>
          <w:color w:val="6E6158"/>
          <w:spacing w:val="31"/>
        </w:rPr>
        <w:t> </w:t>
      </w:r>
      <w:r>
        <w:rPr>
          <w:color w:val="6E6158"/>
        </w:rPr>
        <w:t>on</w:t>
      </w:r>
      <w:r>
        <w:rPr>
          <w:color w:val="6E6158"/>
          <w:spacing w:val="31"/>
        </w:rPr>
        <w:t> </w:t>
      </w:r>
      <w:r>
        <w:rPr>
          <w:color w:val="6E6158"/>
        </w:rPr>
        <w:t>a</w:t>
      </w:r>
      <w:r>
        <w:rPr>
          <w:color w:val="6E6158"/>
          <w:spacing w:val="31"/>
        </w:rPr>
        <w:t> </w:t>
      </w:r>
      <w:r>
        <w:rPr>
          <w:color w:val="6E6158"/>
        </w:rPr>
        <w:t>counterclaim,</w:t>
      </w:r>
      <w:r>
        <w:rPr>
          <w:color w:val="6E6158"/>
          <w:spacing w:val="31"/>
        </w:rPr>
        <w:t> </w:t>
      </w:r>
      <w:r>
        <w:rPr>
          <w:color w:val="6E6158"/>
        </w:rPr>
        <w:t>following</w:t>
      </w:r>
      <w:r>
        <w:rPr>
          <w:color w:val="6E6158"/>
          <w:spacing w:val="31"/>
        </w:rPr>
        <w:t> </w:t>
      </w:r>
      <w:r>
        <w:rPr>
          <w:color w:val="6E6158"/>
        </w:rPr>
        <w:t>a</w:t>
      </w:r>
      <w:r>
        <w:rPr>
          <w:color w:val="6E6158"/>
          <w:spacing w:val="31"/>
        </w:rPr>
        <w:t> </w:t>
      </w:r>
      <w:r>
        <w:rPr>
          <w:color w:val="6E6158"/>
        </w:rPr>
        <w:t>12-day</w:t>
      </w:r>
      <w:r>
        <w:rPr>
          <w:color w:val="6E6158"/>
          <w:spacing w:val="31"/>
        </w:rPr>
        <w:t> </w:t>
      </w:r>
      <w:r>
        <w:rPr>
          <w:color w:val="6E6158"/>
        </w:rPr>
        <w:t>jury</w:t>
      </w:r>
      <w:r>
        <w:rPr>
          <w:color w:val="6E6158"/>
          <w:spacing w:val="31"/>
        </w:rPr>
        <w:t> </w:t>
      </w:r>
      <w:r>
        <w:rPr>
          <w:color w:val="6E6158"/>
        </w:rPr>
        <w:t>trial</w:t>
      </w:r>
      <w:r>
        <w:rPr>
          <w:color w:val="6E6158"/>
          <w:spacing w:val="31"/>
        </w:rPr>
        <w:t> </w:t>
      </w:r>
      <w:r>
        <w:rPr>
          <w:color w:val="6E6158"/>
        </w:rPr>
        <w:t>(Maricopa</w:t>
      </w:r>
      <w:r>
        <w:rPr>
          <w:color w:val="6E6158"/>
          <w:spacing w:val="31"/>
        </w:rPr>
        <w:t> </w:t>
      </w:r>
      <w:r>
        <w:rPr>
          <w:color w:val="6E6158"/>
        </w:rPr>
        <w:t>County</w:t>
      </w:r>
      <w:r>
        <w:rPr>
          <w:color w:val="6E6158"/>
          <w:spacing w:val="31"/>
        </w:rPr>
        <w:t> </w:t>
      </w:r>
      <w:r>
        <w:rPr>
          <w:color w:val="6E6158"/>
        </w:rPr>
        <w:t>Superior</w:t>
      </w:r>
      <w:r>
        <w:rPr>
          <w:color w:val="6E6158"/>
          <w:spacing w:val="31"/>
        </w:rPr>
        <w:t> </w:t>
      </w:r>
      <w:r>
        <w:rPr>
          <w:color w:val="6E6158"/>
        </w:rPr>
        <w:t>Court).</w:t>
      </w:r>
    </w:p>
    <w:p>
      <w:pPr>
        <w:pStyle w:val="BodyText"/>
        <w:spacing w:line="292" w:lineRule="auto"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235909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5529pt;width:1.65pt;height:1.65pt;mso-position-horizontal-relative:page;mso-position-vertical-relative:paragraph;z-index:15736832" id="docshape27" coordorigin="1670,372" coordsize="33,33" path="m1691,404l1682,404,1678,402,1671,396,1670,392,1670,383,1671,379,1678,373,1682,372,1691,372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Secured judgment in favor of private entity prohibiting production of records under Arizona’s</w:t>
      </w:r>
      <w:r>
        <w:rPr>
          <w:color w:val="6E6158"/>
          <w:spacing w:val="40"/>
        </w:rPr>
        <w:t> </w:t>
      </w:r>
      <w:r>
        <w:rPr>
          <w:color w:val="6E6158"/>
        </w:rPr>
        <w:t>public records laws.</w:t>
      </w:r>
    </w:p>
    <w:p>
      <w:pPr>
        <w:pStyle w:val="BodyText"/>
        <w:spacing w:line="292" w:lineRule="auto" w:before="124"/>
        <w:ind w:right="3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231007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8956pt;width:1.65pt;height:1.65pt;mso-position-horizontal-relative:page;mso-position-vertical-relative:paragraph;z-index:15737344" id="docshape28" coordorigin="1670,364" coordsize="33,33" path="m1691,396l1682,396,1678,395,1671,388,1670,385,1670,376,1671,372,1678,365,1682,364,1691,364,1694,365,1701,372,1702,376,1702,380,1702,385,1701,388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Bench trial to enforce restrictive covenants, settled mid-trial, for over $2.5 million in favor of</w:t>
      </w:r>
      <w:r>
        <w:rPr>
          <w:color w:val="6E6158"/>
          <w:spacing w:val="40"/>
        </w:rPr>
        <w:t> </w:t>
      </w:r>
      <w:r>
        <w:rPr>
          <w:color w:val="6E6158"/>
        </w:rPr>
        <w:t>client (U.S. District Court – Nevada).</w:t>
      </w:r>
    </w:p>
    <w:p>
      <w:pPr>
        <w:pStyle w:val="BodyText"/>
        <w:spacing w:line="292" w:lineRule="auto" w:before="131"/>
        <w:ind w:right="3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235716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0343pt;width:1.65pt;height:1.65pt;mso-position-horizontal-relative:page;mso-position-vertical-relative:paragraph;z-index:15737856" id="docshape29" coordorigin="1670,371" coordsize="33,33" path="m1691,404l1682,404,1678,402,1671,396,1670,392,1670,383,1671,379,1678,373,1682,371,1691,371,1694,373,1701,379,1702,383,1702,387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Two-week jury trial on claims for sexual harassment, discrimination, wrongful termination,</w:t>
      </w:r>
      <w:r>
        <w:rPr>
          <w:color w:val="6E6158"/>
          <w:spacing w:val="40"/>
        </w:rPr>
        <w:t> </w:t>
      </w:r>
      <w:r>
        <w:rPr>
          <w:color w:val="6E6158"/>
        </w:rPr>
        <w:t>retaliation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interference</w:t>
      </w:r>
      <w:r>
        <w:rPr>
          <w:color w:val="6E6158"/>
          <w:spacing w:val="12"/>
        </w:rPr>
        <w:t> </w:t>
      </w:r>
      <w:r>
        <w:rPr>
          <w:color w:val="6E6158"/>
        </w:rPr>
        <w:t>with</w:t>
      </w:r>
      <w:r>
        <w:rPr>
          <w:color w:val="6E6158"/>
          <w:spacing w:val="12"/>
        </w:rPr>
        <w:t> </w:t>
      </w:r>
      <w:r>
        <w:rPr>
          <w:color w:val="6E6158"/>
        </w:rPr>
        <w:t>contract</w:t>
      </w:r>
      <w:r>
        <w:rPr>
          <w:color w:val="6E6158"/>
          <w:spacing w:val="12"/>
        </w:rPr>
        <w:t> </w:t>
      </w:r>
      <w:r>
        <w:rPr>
          <w:color w:val="6E6158"/>
        </w:rPr>
        <w:t>(U.S.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</w:t>
      </w:r>
      <w:r>
        <w:rPr>
          <w:color w:val="6E6158"/>
          <w:spacing w:val="12"/>
        </w:rPr>
        <w:t> </w:t>
      </w:r>
      <w:r>
        <w:rPr>
          <w:color w:val="6E6158"/>
        </w:rPr>
        <w:t>–</w:t>
      </w:r>
      <w:r>
        <w:rPr>
          <w:color w:val="6E6158"/>
          <w:spacing w:val="12"/>
        </w:rPr>
        <w:t> </w:t>
      </w:r>
      <w:r>
        <w:rPr>
          <w:color w:val="6E6158"/>
        </w:rPr>
        <w:t>Tucson)</w:t>
      </w:r>
      <w:r>
        <w:rPr>
          <w:color w:val="6E6158"/>
          <w:spacing w:val="12"/>
        </w:rPr>
        <w:t> </w:t>
      </w:r>
      <w:r>
        <w:rPr>
          <w:color w:val="6E6158"/>
        </w:rPr>
        <w:t>–</w:t>
      </w:r>
      <w:r>
        <w:rPr>
          <w:color w:val="6E6158"/>
          <w:spacing w:val="13"/>
        </w:rPr>
        <w:t> </w:t>
      </w:r>
      <w:r>
        <w:rPr>
          <w:color w:val="6E6158"/>
        </w:rPr>
        <w:t>defense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verdict.</w:t>
      </w:r>
    </w:p>
    <w:p>
      <w:pPr>
        <w:pStyle w:val="BodyText"/>
        <w:spacing w:line="292" w:lineRule="auto" w:before="123"/>
        <w:ind w:right="42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230813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74324pt;width:1.65pt;height:1.65pt;mso-position-horizontal-relative:page;mso-position-vertical-relative:paragraph;z-index:15738368" id="docshape30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One-week jury trial on harassment and discrimination claims (U.S. District Court – Nevada) </w:t>
      </w:r>
      <w:r>
        <w:rPr>
          <w:color w:val="6E6158"/>
        </w:rPr>
        <w:t>–</w:t>
      </w:r>
      <w:r>
        <w:rPr>
          <w:color w:val="6E6158"/>
          <w:spacing w:val="40"/>
        </w:rPr>
        <w:t> </w:t>
      </w:r>
      <w:r>
        <w:rPr>
          <w:color w:val="6E6158"/>
        </w:rPr>
        <w:t>defense verdict.</w:t>
      </w:r>
    </w:p>
    <w:p>
      <w:pPr>
        <w:pStyle w:val="BodyText"/>
        <w:spacing w:line="292" w:lineRule="auto"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236159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5226pt;width:1.65pt;height:1.65pt;mso-position-horizontal-relative:page;mso-position-vertical-relative:paragraph;z-index:15738880" id="docshape31" coordorigin="1670,372" coordsize="33,33" path="m1691,404l1682,404,1678,403,1671,397,1670,393,1670,384,1671,380,1678,373,1682,372,1691,372,1694,373,1701,380,1702,384,1702,388,1702,393,1701,397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One-week jury trial on pregnancy discrimination and wrongful termination claims (U.S. </w:t>
      </w:r>
      <w:r>
        <w:rPr>
          <w:color w:val="6E6158"/>
        </w:rPr>
        <w:t>District</w:t>
      </w:r>
      <w:r>
        <w:rPr>
          <w:color w:val="6E6158"/>
          <w:spacing w:val="40"/>
        </w:rPr>
        <w:t> </w:t>
      </w:r>
      <w:r>
        <w:rPr>
          <w:color w:val="6E6158"/>
        </w:rPr>
        <w:t>Court – Phoenix) – defense verdict.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142777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42313pt;width:1.65pt;height:1.65pt;mso-position-horizontal-relative:page;mso-position-vertical-relative:paragraph;z-index:15739392" id="docshape32" coordorigin="1670,225" coordsize="33,33" path="m1691,257l1682,257,1678,256,1671,249,1670,246,1670,237,1671,233,1678,226,1682,225,1691,225,1694,226,1701,233,1702,237,1702,241,1702,246,1701,249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Non-suit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harassment,</w:t>
      </w:r>
      <w:r>
        <w:rPr>
          <w:color w:val="6E6158"/>
          <w:spacing w:val="13"/>
        </w:rPr>
        <w:t> </w:t>
      </w:r>
      <w:r>
        <w:rPr>
          <w:color w:val="6E6158"/>
        </w:rPr>
        <w:t>discrimination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retaliation</w:t>
      </w:r>
      <w:r>
        <w:rPr>
          <w:color w:val="6E6158"/>
          <w:spacing w:val="13"/>
        </w:rPr>
        <w:t> </w:t>
      </w:r>
      <w:r>
        <w:rPr>
          <w:color w:val="6E6158"/>
        </w:rPr>
        <w:t>claims</w:t>
      </w:r>
      <w:r>
        <w:rPr>
          <w:color w:val="6E6158"/>
          <w:spacing w:val="13"/>
        </w:rPr>
        <w:t> </w:t>
      </w:r>
      <w:r>
        <w:rPr>
          <w:color w:val="6E6158"/>
        </w:rPr>
        <w:t>(U.S.</w:t>
      </w:r>
      <w:r>
        <w:rPr>
          <w:color w:val="6E6158"/>
          <w:spacing w:val="13"/>
        </w:rPr>
        <w:t> </w:t>
      </w:r>
      <w:r>
        <w:rPr>
          <w:color w:val="6E6158"/>
        </w:rPr>
        <w:t>District</w:t>
      </w:r>
      <w:r>
        <w:rPr>
          <w:color w:val="6E6158"/>
          <w:spacing w:val="14"/>
        </w:rPr>
        <w:t> </w:t>
      </w:r>
      <w:r>
        <w:rPr>
          <w:color w:val="6E6158"/>
        </w:rPr>
        <w:t>Court</w:t>
      </w:r>
      <w:r>
        <w:rPr>
          <w:color w:val="6E6158"/>
          <w:spacing w:val="13"/>
        </w:rPr>
        <w:t> </w:t>
      </w:r>
      <w:r>
        <w:rPr>
          <w:color w:val="6E6158"/>
        </w:rPr>
        <w:t>–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Nevada).</w:t>
      </w:r>
    </w:p>
    <w:p>
      <w:pPr>
        <w:pStyle w:val="BodyText"/>
        <w:spacing w:line="292" w:lineRule="auto" w:before="182"/>
        <w:ind w:right="3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268123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1212pt;width:1.65pt;height:1.65pt;mso-position-horizontal-relative:page;mso-position-vertical-relative:paragraph;z-index:15739904" id="docshape33" coordorigin="1670,422" coordsize="33,33" path="m1691,455l1682,455,1678,453,1671,447,1670,443,1670,434,1671,430,1678,424,1682,422,1691,422,1694,424,1701,430,1702,434,1702,439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Secured temporary restraining order and preliminary injunction against departing </w:t>
      </w:r>
      <w:r>
        <w:rPr>
          <w:color w:val="6E6158"/>
        </w:rPr>
        <w:t>employee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competitor</w:t>
      </w:r>
      <w:r>
        <w:rPr>
          <w:color w:val="6E6158"/>
          <w:spacing w:val="34"/>
        </w:rPr>
        <w:t> </w:t>
      </w:r>
      <w:r>
        <w:rPr>
          <w:color w:val="6E6158"/>
        </w:rPr>
        <w:t>(U.S.</w:t>
      </w:r>
      <w:r>
        <w:rPr>
          <w:color w:val="6E6158"/>
          <w:spacing w:val="34"/>
        </w:rPr>
        <w:t> </w:t>
      </w:r>
      <w:r>
        <w:rPr>
          <w:color w:val="6E6158"/>
        </w:rPr>
        <w:t>District</w:t>
      </w:r>
      <w:r>
        <w:rPr>
          <w:color w:val="6E6158"/>
          <w:spacing w:val="34"/>
        </w:rPr>
        <w:t> </w:t>
      </w:r>
      <w:r>
        <w:rPr>
          <w:color w:val="6E6158"/>
        </w:rPr>
        <w:t>Court</w:t>
      </w:r>
      <w:r>
        <w:rPr>
          <w:color w:val="6E6158"/>
          <w:spacing w:val="34"/>
        </w:rPr>
        <w:t> </w:t>
      </w:r>
      <w:r>
        <w:rPr>
          <w:color w:val="6E6158"/>
        </w:rPr>
        <w:t>–</w:t>
      </w:r>
      <w:r>
        <w:rPr>
          <w:color w:val="6E6158"/>
          <w:spacing w:val="34"/>
        </w:rPr>
        <w:t> </w:t>
      </w:r>
      <w:r>
        <w:rPr>
          <w:color w:val="6E6158"/>
        </w:rPr>
        <w:t>Central</w:t>
      </w:r>
      <w:r>
        <w:rPr>
          <w:color w:val="6E6158"/>
          <w:spacing w:val="34"/>
        </w:rPr>
        <w:t> </w:t>
      </w:r>
      <w:r>
        <w:rPr>
          <w:color w:val="6E6158"/>
        </w:rPr>
        <w:t>District</w:t>
      </w:r>
      <w:r>
        <w:rPr>
          <w:color w:val="6E6158"/>
          <w:spacing w:val="34"/>
        </w:rPr>
        <w:t> </w:t>
      </w:r>
      <w:r>
        <w:rPr>
          <w:color w:val="6E6158"/>
        </w:rPr>
        <w:t>of</w:t>
      </w:r>
      <w:r>
        <w:rPr>
          <w:color w:val="6E6158"/>
          <w:spacing w:val="34"/>
        </w:rPr>
        <w:t> </w:t>
      </w:r>
      <w:r>
        <w:rPr>
          <w:color w:val="6E6158"/>
        </w:rPr>
        <w:t>California,</w:t>
      </w:r>
      <w:r>
        <w:rPr>
          <w:color w:val="6E6158"/>
          <w:spacing w:val="34"/>
        </w:rPr>
        <w:t> </w:t>
      </w:r>
      <w:r>
        <w:rPr>
          <w:color w:val="6E6158"/>
        </w:rPr>
        <w:t>Southern</w:t>
      </w:r>
      <w:r>
        <w:rPr>
          <w:color w:val="6E6158"/>
          <w:spacing w:val="34"/>
        </w:rPr>
        <w:t> </w:t>
      </w:r>
      <w:r>
        <w:rPr>
          <w:color w:val="6E6158"/>
        </w:rPr>
        <w:t>Division).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right="3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205446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91pt;width:1.65pt;height:1.65pt;mso-position-horizontal-relative:page;mso-position-vertical-relative:paragraph;z-index:15740416" id="docshape34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Secured preliminary and permanent injunction against departing employee and </w:t>
      </w:r>
      <w:r>
        <w:rPr>
          <w:color w:val="6E6158"/>
        </w:rPr>
        <w:t>competitor</w:t>
      </w:r>
      <w:r>
        <w:rPr>
          <w:color w:val="6E6158"/>
          <w:spacing w:val="40"/>
        </w:rPr>
        <w:t> </w:t>
      </w:r>
      <w:r>
        <w:rPr>
          <w:color w:val="6E6158"/>
        </w:rPr>
        <w:t>(U.S. District Court – Nevada).</w:t>
      </w:r>
    </w:p>
    <w:p>
      <w:pPr>
        <w:pStyle w:val="BodyText"/>
        <w:spacing w:line="292" w:lineRule="auto"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236191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778pt;width:1.65pt;height:1.65pt;mso-position-horizontal-relative:page;mso-position-vertical-relative:paragraph;z-index:15740928" id="docshape35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Dissolved temporary restraining order and defeated motion for preliminary injunction </w:t>
      </w:r>
      <w:r>
        <w:rPr>
          <w:color w:val="6E6158"/>
        </w:rPr>
        <w:t>sought</w:t>
      </w:r>
      <w:r>
        <w:rPr>
          <w:color w:val="6E6158"/>
          <w:spacing w:val="40"/>
        </w:rPr>
        <w:t> </w:t>
      </w:r>
      <w:r>
        <w:rPr>
          <w:color w:val="6E6158"/>
        </w:rPr>
        <w:t>against departing employee (Maricopa County Superior Court).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142810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44885pt;width:1.65pt;height:1.65pt;mso-position-horizontal-relative:page;mso-position-vertical-relative:paragraph;z-index:15741440" id="docshape36" coordorigin="1670,225" coordsize="33,33" path="m1691,257l1682,257,1678,256,1671,250,1670,246,1670,237,1671,233,1678,226,1682,225,1691,225,1694,226,1701,233,1702,237,1702,241,1702,246,1701,250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Various</w:t>
      </w:r>
      <w:r>
        <w:rPr>
          <w:color w:val="6E6158"/>
          <w:spacing w:val="13"/>
        </w:rPr>
        <w:t> </w:t>
      </w:r>
      <w:r>
        <w:rPr>
          <w:color w:val="6E6158"/>
        </w:rPr>
        <w:t>summary</w:t>
      </w:r>
      <w:r>
        <w:rPr>
          <w:color w:val="6E6158"/>
          <w:spacing w:val="14"/>
        </w:rPr>
        <w:t> </w:t>
      </w:r>
      <w:r>
        <w:rPr>
          <w:color w:val="6E6158"/>
        </w:rPr>
        <w:t>judgments</w:t>
      </w:r>
      <w:r>
        <w:rPr>
          <w:color w:val="6E6158"/>
          <w:spacing w:val="13"/>
        </w:rPr>
        <w:t> </w:t>
      </w:r>
      <w:r>
        <w:rPr>
          <w:color w:val="6E6158"/>
        </w:rPr>
        <w:t>on</w:t>
      </w:r>
      <w:r>
        <w:rPr>
          <w:color w:val="6E6158"/>
          <w:spacing w:val="14"/>
        </w:rPr>
        <w:t> </w:t>
      </w:r>
      <w:r>
        <w:rPr>
          <w:color w:val="6E6158"/>
        </w:rPr>
        <w:t>employment-related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other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claims.</w:t>
      </w:r>
    </w:p>
    <w:p>
      <w:pPr>
        <w:pStyle w:val="BodyText"/>
        <w:spacing w:line="427" w:lineRule="auto" w:before="174"/>
        <w:ind w:right="3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175144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0923pt;width:1.65pt;height:1.65pt;mso-position-horizontal-relative:page;mso-position-vertical-relative:paragraph;z-index:15741952" id="docshape37" coordorigin="1670,276" coordsize="33,33" path="m1691,308l1682,308,1678,307,1671,300,1670,297,1670,288,1671,284,1678,277,1682,276,1691,276,1694,277,1701,284,1702,288,1702,292,1702,297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433510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3467pt;width:1.65pt;height:1.65pt;mso-position-horizontal-relative:page;mso-position-vertical-relative:paragraph;z-index:15742464" id="docshape38" coordorigin="1670,683" coordsize="33,33" path="m1691,715l1682,715,1678,714,1671,707,1670,703,1670,694,1671,691,1678,684,1682,683,1691,683,1694,684,1701,691,1702,694,1702,699,1702,703,1701,707,1694,714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Numerous restraining orders and injunctions secured to enforce restrictive covenants. Numerous</w:t>
      </w:r>
      <w:r>
        <w:rPr>
          <w:color w:val="6E6158"/>
          <w:spacing w:val="29"/>
        </w:rPr>
        <w:t> </w:t>
      </w:r>
      <w:r>
        <w:rPr>
          <w:color w:val="6E6158"/>
        </w:rPr>
        <w:t>no-cause</w:t>
      </w:r>
      <w:r>
        <w:rPr>
          <w:color w:val="6E6158"/>
          <w:spacing w:val="29"/>
        </w:rPr>
        <w:t> </w:t>
      </w:r>
      <w:r>
        <w:rPr>
          <w:color w:val="6E6158"/>
        </w:rPr>
        <w:t>findings</w:t>
      </w:r>
      <w:r>
        <w:rPr>
          <w:color w:val="6E6158"/>
          <w:spacing w:val="29"/>
        </w:rPr>
        <w:t> </w:t>
      </w:r>
      <w:r>
        <w:rPr>
          <w:color w:val="6E6158"/>
        </w:rPr>
        <w:t>on</w:t>
      </w:r>
      <w:r>
        <w:rPr>
          <w:color w:val="6E6158"/>
          <w:spacing w:val="29"/>
        </w:rPr>
        <w:t> </w:t>
      </w:r>
      <w:r>
        <w:rPr>
          <w:color w:val="6E6158"/>
        </w:rPr>
        <w:t>charges</w:t>
      </w:r>
      <w:r>
        <w:rPr>
          <w:color w:val="6E6158"/>
          <w:spacing w:val="29"/>
        </w:rPr>
        <w:t> </w:t>
      </w:r>
      <w:r>
        <w:rPr>
          <w:color w:val="6E6158"/>
        </w:rPr>
        <w:t>filed</w:t>
      </w:r>
      <w:r>
        <w:rPr>
          <w:color w:val="6E6158"/>
          <w:spacing w:val="29"/>
        </w:rPr>
        <w:t> </w:t>
      </w:r>
      <w:r>
        <w:rPr>
          <w:color w:val="6E6158"/>
        </w:rPr>
        <w:t>with</w:t>
      </w:r>
      <w:r>
        <w:rPr>
          <w:color w:val="6E6158"/>
          <w:spacing w:val="29"/>
        </w:rPr>
        <w:t> </w:t>
      </w:r>
      <w:r>
        <w:rPr>
          <w:color w:val="6E6158"/>
        </w:rPr>
        <w:t>EEOC,</w:t>
      </w:r>
      <w:r>
        <w:rPr>
          <w:color w:val="6E6158"/>
          <w:spacing w:val="29"/>
        </w:rPr>
        <w:t> </w:t>
      </w:r>
      <w:r>
        <w:rPr>
          <w:color w:val="6E6158"/>
        </w:rPr>
        <w:t>ACRD,</w:t>
      </w:r>
      <w:r>
        <w:rPr>
          <w:color w:val="6E6158"/>
          <w:spacing w:val="29"/>
        </w:rPr>
        <w:t> </w:t>
      </w:r>
      <w:r>
        <w:rPr>
          <w:color w:val="6E6158"/>
        </w:rPr>
        <w:t>NERC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NMHRD.</w:t>
      </w:r>
    </w:p>
    <w:p>
      <w:pPr>
        <w:pStyle w:val="BodyText"/>
        <w:spacing w:line="292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147780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636268pt;width:1.65pt;height:1.65pt;mso-position-horizontal-relative:page;mso-position-vertical-relative:paragraph;z-index:15742976" id="docshape39" coordorigin="1670,233" coordsize="33,33" path="m1691,265l1682,265,1678,264,1671,257,1670,253,1670,245,1671,241,1678,234,1682,233,1691,233,1694,234,1701,241,1702,245,1702,249,1702,253,1701,257,1694,264,1691,2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Bench trial for plaintiff to enforce commercial contract (U.S. District Court – Central District of</w:t>
      </w:r>
      <w:r>
        <w:rPr>
          <w:color w:val="6E6158"/>
          <w:spacing w:val="40"/>
        </w:rPr>
        <w:t> </w:t>
      </w:r>
      <w:r>
        <w:rPr>
          <w:color w:val="6E6158"/>
        </w:rPr>
        <w:t>California, Southern Division) – judgment for plaintiff in excess of $1,000,000.</w:t>
      </w:r>
    </w:p>
    <w:p>
      <w:pPr>
        <w:pStyle w:val="BodyText"/>
        <w:spacing w:line="302" w:lineRule="auto" w:before="116"/>
        <w:ind w:right="3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231230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207144pt;width:1.65pt;height:1.65pt;mso-position-horizontal-relative:page;mso-position-vertical-relative:paragraph;z-index:15743488" id="docshape40" coordorigin="1670,364" coordsize="33,33" path="m1691,397l1682,397,1678,395,1671,389,1670,385,1670,376,1671,372,1678,366,1682,364,1691,364,1694,366,1701,372,1702,376,1702,380,1702,385,1701,389,1694,395,1691,39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One-week jury trial for plaintiff in equine litigation against an insurance company </w:t>
      </w:r>
      <w:r>
        <w:rPr>
          <w:color w:val="6E6158"/>
        </w:rPr>
        <w:t>and insurance</w:t>
      </w:r>
      <w:r>
        <w:rPr>
          <w:color w:val="6E6158"/>
          <w:spacing w:val="22"/>
        </w:rPr>
        <w:t> </w:t>
      </w:r>
      <w:r>
        <w:rPr>
          <w:color w:val="6E6158"/>
        </w:rPr>
        <w:t>broker</w:t>
      </w:r>
      <w:r>
        <w:rPr>
          <w:color w:val="6E6158"/>
          <w:spacing w:val="22"/>
        </w:rPr>
        <w:t> </w:t>
      </w:r>
      <w:r>
        <w:rPr>
          <w:color w:val="6E6158"/>
        </w:rPr>
        <w:t>(U.S.</w:t>
      </w:r>
      <w:r>
        <w:rPr>
          <w:color w:val="6E6158"/>
          <w:spacing w:val="22"/>
        </w:rPr>
        <w:t> </w:t>
      </w:r>
      <w:r>
        <w:rPr>
          <w:color w:val="6E6158"/>
        </w:rPr>
        <w:t>District</w:t>
      </w:r>
      <w:r>
        <w:rPr>
          <w:color w:val="6E6158"/>
          <w:spacing w:val="22"/>
        </w:rPr>
        <w:t> </w:t>
      </w:r>
      <w:r>
        <w:rPr>
          <w:color w:val="6E6158"/>
        </w:rPr>
        <w:t>Court</w:t>
      </w:r>
      <w:r>
        <w:rPr>
          <w:color w:val="6E6158"/>
          <w:spacing w:val="22"/>
        </w:rPr>
        <w:t> </w:t>
      </w:r>
      <w:r>
        <w:rPr>
          <w:color w:val="6E6158"/>
        </w:rPr>
        <w:t>–</w:t>
      </w:r>
      <w:r>
        <w:rPr>
          <w:color w:val="6E6158"/>
          <w:spacing w:val="22"/>
        </w:rPr>
        <w:t> </w:t>
      </w:r>
      <w:r>
        <w:rPr>
          <w:color w:val="6E6158"/>
        </w:rPr>
        <w:t>Central</w:t>
      </w:r>
      <w:r>
        <w:rPr>
          <w:color w:val="6E6158"/>
          <w:spacing w:val="22"/>
        </w:rPr>
        <w:t> </w:t>
      </w:r>
      <w:r>
        <w:rPr>
          <w:color w:val="6E6158"/>
        </w:rPr>
        <w:t>District</w:t>
      </w:r>
      <w:r>
        <w:rPr>
          <w:color w:val="6E6158"/>
          <w:spacing w:val="22"/>
        </w:rPr>
        <w:t> </w:t>
      </w:r>
      <w:r>
        <w:rPr>
          <w:color w:val="6E6158"/>
        </w:rPr>
        <w:t>of</w:t>
      </w:r>
      <w:r>
        <w:rPr>
          <w:color w:val="6E6158"/>
          <w:spacing w:val="22"/>
        </w:rPr>
        <w:t> </w:t>
      </w:r>
      <w:r>
        <w:rPr>
          <w:color w:val="6E6158"/>
        </w:rPr>
        <w:t>California)</w:t>
      </w:r>
      <w:r>
        <w:rPr>
          <w:color w:val="6E6158"/>
          <w:spacing w:val="22"/>
        </w:rPr>
        <w:t> </w:t>
      </w:r>
      <w:r>
        <w:rPr>
          <w:color w:val="6E6158"/>
        </w:rPr>
        <w:t>–</w:t>
      </w:r>
      <w:r>
        <w:rPr>
          <w:color w:val="6E6158"/>
          <w:spacing w:val="22"/>
        </w:rPr>
        <w:t> </w:t>
      </w:r>
      <w:r>
        <w:rPr>
          <w:color w:val="6E6158"/>
        </w:rPr>
        <w:t>plaintiff’s</w:t>
      </w:r>
      <w:r>
        <w:rPr>
          <w:color w:val="6E6158"/>
          <w:spacing w:val="22"/>
        </w:rPr>
        <w:t> </w:t>
      </w:r>
      <w:r>
        <w:rPr>
          <w:color w:val="6E6158"/>
        </w:rPr>
        <w:t>verdict.</w:t>
      </w:r>
    </w:p>
    <w:p>
      <w:pPr>
        <w:pStyle w:val="BodyText"/>
        <w:spacing w:line="292" w:lineRule="auto" w:before="113"/>
        <w:ind w:right="18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224019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39345pt;width:1.65pt;height:1.65pt;mso-position-horizontal-relative:page;mso-position-vertical-relative:paragraph;z-index:15744000" id="docshape41" coordorigin="1670,353" coordsize="33,33" path="m1691,385l1682,385,1678,384,1671,377,1670,374,1670,365,1671,361,1678,354,1682,353,1691,353,1694,354,1701,361,1702,365,1702,369,1702,374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Secured dismissal of defamation action against dentists and professional organization </w:t>
      </w:r>
      <w:r>
        <w:rPr>
          <w:color w:val="6E6158"/>
        </w:rPr>
        <w:t>(District</w:t>
      </w:r>
      <w:r>
        <w:rPr>
          <w:color w:val="6E6158"/>
          <w:spacing w:val="40"/>
        </w:rPr>
        <w:t> </w:t>
      </w:r>
      <w:r>
        <w:rPr>
          <w:color w:val="6E6158"/>
        </w:rPr>
        <w:t>Court – Nevada).</w:t>
      </w:r>
    </w:p>
    <w:p>
      <w:pPr>
        <w:pStyle w:val="BodyText"/>
        <w:spacing w:line="302" w:lineRule="auto" w:before="123"/>
        <w:ind w:right="3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235714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0225pt;width:1.65pt;height:1.65pt;mso-position-horizontal-relative:page;mso-position-vertical-relative:paragraph;z-index:15744512" id="docshape42" coordorigin="1670,371" coordsize="33,33" path="m1691,404l1682,404,1678,402,1671,396,1670,392,1670,383,1671,379,1678,373,1682,371,1691,371,1694,373,1701,379,1702,383,1702,387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Secured summary judgments for national life insurance companies on disability/ERISA </w:t>
      </w:r>
      <w:r>
        <w:rPr>
          <w:color w:val="6E6158"/>
        </w:rPr>
        <w:t>claims</w:t>
      </w:r>
      <w:r>
        <w:rPr>
          <w:color w:val="6E6158"/>
          <w:spacing w:val="40"/>
        </w:rPr>
        <w:t> </w:t>
      </w:r>
      <w:r>
        <w:rPr>
          <w:color w:val="6E6158"/>
        </w:rPr>
        <w:t>(U.S. District Court – Nevada).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224058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42408pt;width:1.65pt;height:1.65pt;mso-position-horizontal-relative:page;mso-position-vertical-relative:paragraph;z-index:15745024" id="docshape43" coordorigin="1670,353" coordsize="33,33" path="m1691,385l1682,385,1678,384,1671,377,1670,374,1670,365,1671,361,1678,354,1682,353,1691,353,1694,354,1701,361,1702,365,1702,369,1702,374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Trial-styled arbitration – defense on defamation and slander claims (Ventura County </w:t>
      </w:r>
      <w:r>
        <w:rPr>
          <w:color w:val="6E6158"/>
        </w:rPr>
        <w:t>Superior </w:t>
      </w:r>
      <w:r>
        <w:rPr>
          <w:color w:val="6E6158"/>
          <w:spacing w:val="-2"/>
        </w:rPr>
        <w:t>Court).</w:t>
      </w:r>
    </w:p>
    <w:p>
      <w:pPr>
        <w:pStyle w:val="BodyText"/>
        <w:spacing w:line="292" w:lineRule="auto" w:before="131"/>
        <w:ind w:right="3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235753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3288pt;width:1.65pt;height:1.65pt;mso-position-horizontal-relative:page;mso-position-vertical-relative:paragraph;z-index:15745536" id="docshape44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Summary Judgment on abuse of process and malicious prosecution claims (Pima </w:t>
      </w:r>
      <w:r>
        <w:rPr>
          <w:color w:val="6E6158"/>
        </w:rPr>
        <w:t>County Superior Court).</w:t>
      </w:r>
    </w:p>
    <w:p>
      <w:pPr>
        <w:pStyle w:val="Heading2"/>
        <w:spacing w:before="285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line="288" w:lineRule="auto" w:before="136"/>
        <w:ind w:left="351" w:right="389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245401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22952pt;width:1.65pt;height:1.65pt;mso-position-horizontal-relative:page;mso-position-vertical-relative:paragraph;z-index:15746048" id="docshape45" coordorigin="1670,386" coordsize="33,33" path="m1691,419l1682,419,1678,417,1671,411,1670,407,1670,398,1671,394,1678,388,1682,386,1691,386,1694,388,1701,394,1702,398,1702,403,1702,407,1701,411,1694,417,1691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 Lawyers in America®</w:t>
      </w:r>
      <w:r>
        <w:rPr>
          <w:color w:val="6E6158"/>
          <w:sz w:val="19"/>
        </w:rPr>
        <w:t>, Lawyer of the Year, Professional Malpractice Law – Defendants, 2023, 2026</w:t>
      </w:r>
    </w:p>
    <w:p>
      <w:pPr>
        <w:pStyle w:val="BodyText"/>
        <w:spacing w:line="288" w:lineRule="auto" w:before="129"/>
        <w:ind w:right="20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1060346</wp:posOffset>
                </wp:positionH>
                <wp:positionV relativeFrom="paragraph">
                  <wp:posOffset>249400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637815pt;width:1.65pt;height:1.65pt;mso-position-horizontal-relative:page;mso-position-vertical-relative:paragraph;z-index:15746560" id="docshape46" coordorigin="1670,393" coordsize="33,33" path="m1691,425l1682,425,1678,424,1671,417,1670,414,1670,405,1671,401,1678,394,1682,393,1691,393,1694,394,1701,401,1702,405,1702,409,1702,414,1701,417,1694,424,1691,4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</w:rPr>
        <w:t>Commercial Litigation, Employment Law Management, Litigation </w:t>
      </w:r>
      <w:r>
        <w:rPr>
          <w:color w:val="6E6158"/>
        </w:rPr>
        <w:t>– Labor and Employment, Professional Malpractice Law – Defendants, 2014-2026</w:t>
      </w:r>
    </w:p>
    <w:p>
      <w:pPr>
        <w:spacing w:line="398" w:lineRule="auto" w:before="118"/>
        <w:ind w:left="351" w:right="2314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1060346</wp:posOffset>
                </wp:positionH>
                <wp:positionV relativeFrom="paragraph">
                  <wp:posOffset>145932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490724pt;width:1.65pt;height:1.65pt;mso-position-horizontal-relative:page;mso-position-vertical-relative:paragraph;z-index:15747072" id="docshape47" coordorigin="1670,230" coordsize="33,33" path="m1691,262l1682,262,1678,261,1671,254,1670,251,1670,242,1671,238,1678,231,1682,230,1691,230,1694,231,1701,238,1702,242,1702,246,1702,251,1701,254,1694,261,1691,26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1060346</wp:posOffset>
                </wp:positionH>
                <wp:positionV relativeFrom="paragraph">
                  <wp:posOffset>404297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834467pt;width:1.65pt;height:1.65pt;mso-position-horizontal-relative:page;mso-position-vertical-relative:paragraph;z-index:15747584" id="docshape48" coordorigin="1670,637" coordsize="33,33" path="m1691,669l1682,669,1678,668,1671,661,1670,657,1670,648,1671,645,1678,638,1682,637,1691,637,1694,638,1701,645,1702,648,1702,653,1702,657,1701,661,1694,668,1691,66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Benchmark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Litigation,</w:t>
      </w:r>
      <w:r>
        <w:rPr>
          <w:i/>
          <w:color w:val="6E6158"/>
          <w:spacing w:val="-1"/>
          <w:sz w:val="20"/>
        </w:rPr>
        <w:t> </w:t>
      </w:r>
      <w:r>
        <w:rPr>
          <w:color w:val="6E6158"/>
          <w:sz w:val="19"/>
        </w:rPr>
        <w:t>Benchmark Litigation Star, 2016-2019 and </w:t>
      </w:r>
      <w:r>
        <w:rPr>
          <w:color w:val="6E6158"/>
          <w:sz w:val="19"/>
        </w:rPr>
        <w:t>2025 Top 100 Lawyers in Arizona, </w:t>
      </w:r>
      <w:r>
        <w:rPr>
          <w:i/>
          <w:color w:val="6E6158"/>
          <w:sz w:val="20"/>
        </w:rPr>
        <w:t>AZ Big Media, </w:t>
      </w:r>
      <w:r>
        <w:rPr>
          <w:color w:val="6E6158"/>
          <w:sz w:val="19"/>
        </w:rPr>
        <w:t>2022, 2025, 2026</w:t>
      </w:r>
    </w:p>
    <w:p>
      <w:pPr>
        <w:spacing w:line="398" w:lineRule="auto" w:before="8"/>
        <w:ind w:left="351" w:right="2763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1060346</wp:posOffset>
                </wp:positionH>
                <wp:positionV relativeFrom="paragraph">
                  <wp:posOffset>70771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572546pt;width:1.65pt;height:1.65pt;mso-position-horizontal-relative:page;mso-position-vertical-relative:paragraph;z-index:15748096" id="docshape49" coordorigin="1670,111" coordsize="33,33" path="m1691,144l1682,144,1678,142,1671,136,1670,132,1670,123,1671,119,1678,113,1682,111,1691,111,1694,113,1701,119,1702,123,1702,128,1702,132,1701,136,1694,142,1691,14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1060346</wp:posOffset>
                </wp:positionH>
                <wp:positionV relativeFrom="paragraph">
                  <wp:posOffset>344638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7.136881pt;width:1.65pt;height:1.65pt;mso-position-horizontal-relative:page;mso-position-vertical-relative:paragraph;z-index:15748608" id="docshape50" coordorigin="1670,543" coordsize="33,33" path="m1691,575l1682,575,1678,574,1671,567,1670,564,1670,555,1671,551,1678,544,1682,543,1691,543,1694,544,1701,551,1702,555,1702,559,1702,564,1701,567,1694,574,1691,57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1060346</wp:posOffset>
                </wp:positionH>
                <wp:positionV relativeFrom="paragraph">
                  <wp:posOffset>613338</wp:posOffset>
                </wp:positionV>
                <wp:extent cx="20955" cy="209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8.294369pt;width:1.65pt;height:1.65pt;mso-position-horizontal-relative:page;mso-position-vertical-relative:paragraph;z-index:15749120" id="docshape51" coordorigin="1670,966" coordsize="33,33" path="m1691,998l1682,998,1678,997,1671,990,1670,987,1670,978,1671,974,1678,967,1682,966,1691,966,1694,967,1701,974,1702,978,1702,982,1702,987,1701,990,1694,997,1691,99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Southwest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Lawyers®</w:t>
      </w:r>
      <w:r>
        <w:rPr>
          <w:color w:val="6E6158"/>
          <w:sz w:val="19"/>
        </w:rPr>
        <w:t>,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Top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25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Women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Arizona,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2020-</w:t>
      </w:r>
      <w:r>
        <w:rPr>
          <w:color w:val="6E6158"/>
          <w:sz w:val="19"/>
        </w:rPr>
        <w:t>2026 </w:t>
      </w:r>
      <w:r>
        <w:rPr>
          <w:i/>
          <w:color w:val="6E6158"/>
          <w:sz w:val="20"/>
        </w:rPr>
        <w:t>Southwest Super Lawyers</w:t>
      </w:r>
      <w:r>
        <w:rPr>
          <w:i/>
          <w:color w:val="6E6158"/>
          <w:position w:val="7"/>
          <w:sz w:val="16"/>
        </w:rPr>
        <w:t>®</w:t>
      </w:r>
      <w:r>
        <w:rPr>
          <w:color w:val="6E6158"/>
          <w:sz w:val="19"/>
        </w:rPr>
        <w:t>, Business Litigation, 2017-2026 </w:t>
      </w:r>
      <w:r>
        <w:rPr>
          <w:i/>
          <w:color w:val="6E6158"/>
          <w:sz w:val="20"/>
        </w:rPr>
        <w:t>Chambers USA, </w:t>
      </w:r>
      <w:r>
        <w:rPr>
          <w:color w:val="090909"/>
          <w:sz w:val="19"/>
        </w:rPr>
        <w:t>Leading Lawyers for Business, 2020-2024</w:t>
      </w:r>
    </w:p>
    <w:p>
      <w:pPr>
        <w:spacing w:before="10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1060346</wp:posOffset>
                </wp:positionH>
                <wp:positionV relativeFrom="paragraph">
                  <wp:posOffset>72279</wp:posOffset>
                </wp:positionV>
                <wp:extent cx="20955" cy="2095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691334pt;width:1.65pt;height:1.65pt;mso-position-horizontal-relative:page;mso-position-vertical-relative:paragraph;z-index:15749632" id="docshape52" coordorigin="1670,114" coordsize="33,33" path="m1691,146l1682,146,1678,145,1671,138,1670,135,1670,126,1671,122,1678,115,1682,114,1691,114,1694,115,1701,122,1702,126,1702,130,1702,135,1701,138,1694,145,1691,1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AZ Business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Leaders,</w:t>
      </w:r>
      <w:r>
        <w:rPr>
          <w:color w:val="6E6158"/>
          <w:spacing w:val="1"/>
          <w:sz w:val="19"/>
        </w:rPr>
        <w:t> </w:t>
      </w:r>
      <w:r>
        <w:rPr>
          <w:i/>
          <w:color w:val="6E6158"/>
          <w:sz w:val="20"/>
        </w:rPr>
        <w:t>AZ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Big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Media,</w:t>
      </w:r>
      <w:r>
        <w:rPr>
          <w:i/>
          <w:color w:val="6E6158"/>
          <w:spacing w:val="-2"/>
          <w:sz w:val="20"/>
        </w:rPr>
        <w:t> </w:t>
      </w:r>
      <w:r>
        <w:rPr>
          <w:color w:val="6E6158"/>
          <w:spacing w:val="-4"/>
          <w:sz w:val="19"/>
        </w:rPr>
        <w:t>2022</w:t>
      </w:r>
    </w:p>
    <w:p>
      <w:pPr>
        <w:spacing w:before="162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1060346</wp:posOffset>
                </wp:positionH>
                <wp:positionV relativeFrom="paragraph">
                  <wp:posOffset>168584</wp:posOffset>
                </wp:positionV>
                <wp:extent cx="20955" cy="2095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274359pt;width:1.65pt;height:1.65pt;mso-position-horizontal-relative:page;mso-position-vertical-relative:paragraph;z-index:15750144" id="docshape53" coordorigin="1670,265" coordsize="33,33" path="m1691,298l1682,298,1678,296,1671,290,1670,286,1670,277,1671,273,1678,267,1682,265,1691,265,1694,267,1701,273,1702,277,1702,282,1702,286,1701,290,1694,296,1691,29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Top</w:t>
      </w:r>
      <w:r>
        <w:rPr>
          <w:color w:val="6E6158"/>
          <w:spacing w:val="-7"/>
          <w:sz w:val="19"/>
        </w:rPr>
        <w:t> </w:t>
      </w:r>
      <w:r>
        <w:rPr>
          <w:color w:val="6E6158"/>
          <w:sz w:val="19"/>
        </w:rPr>
        <w:t>100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Lawyers,</w:t>
      </w:r>
      <w:r>
        <w:rPr>
          <w:color w:val="6E6158"/>
          <w:spacing w:val="-5"/>
          <w:sz w:val="19"/>
        </w:rPr>
        <w:t> </w:t>
      </w:r>
      <w:r>
        <w:rPr>
          <w:i/>
          <w:color w:val="6E6158"/>
          <w:sz w:val="20"/>
        </w:rPr>
        <w:t>AZ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Business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Magazine,</w:t>
      </w:r>
      <w:r>
        <w:rPr>
          <w:i/>
          <w:color w:val="6E6158"/>
          <w:spacing w:val="-9"/>
          <w:sz w:val="20"/>
        </w:rPr>
        <w:t> </w:t>
      </w:r>
      <w:r>
        <w:rPr>
          <w:color w:val="6E6158"/>
          <w:spacing w:val="-4"/>
          <w:sz w:val="19"/>
        </w:rPr>
        <w:t>2020</w:t>
      </w:r>
    </w:p>
    <w:p>
      <w:pPr>
        <w:spacing w:before="161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1060346</wp:posOffset>
                </wp:positionH>
                <wp:positionV relativeFrom="paragraph">
                  <wp:posOffset>173535</wp:posOffset>
                </wp:positionV>
                <wp:extent cx="20955" cy="20955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64184pt;width:1.65pt;height:1.65pt;mso-position-horizontal-relative:page;mso-position-vertical-relative:paragraph;z-index:15750656" id="docshape54" coordorigin="1670,273" coordsize="33,33" path="m1691,306l1682,306,1678,304,1671,298,1670,294,1670,285,1671,281,1678,275,1682,273,1691,273,1694,275,1701,281,1702,285,1702,290,1702,294,1701,298,1694,304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Selected,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“Most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Influential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Women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Arizona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Business,”</w:t>
      </w:r>
      <w:r>
        <w:rPr>
          <w:color w:val="6E6158"/>
          <w:spacing w:val="4"/>
          <w:sz w:val="19"/>
        </w:rPr>
        <w:t> </w:t>
      </w:r>
      <w:r>
        <w:rPr>
          <w:i/>
          <w:color w:val="6E6158"/>
          <w:sz w:val="20"/>
        </w:rPr>
        <w:t>AZ Business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z w:val="20"/>
        </w:rPr>
        <w:t>Magazine, </w:t>
      </w:r>
      <w:r>
        <w:rPr>
          <w:color w:val="6E6158"/>
          <w:spacing w:val="-4"/>
          <w:sz w:val="19"/>
        </w:rPr>
        <w:t>2015</w:t>
      </w:r>
    </w:p>
    <w:p>
      <w:pPr>
        <w:spacing w:before="162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1060346</wp:posOffset>
                </wp:positionH>
                <wp:positionV relativeFrom="paragraph">
                  <wp:posOffset>173954</wp:posOffset>
                </wp:positionV>
                <wp:extent cx="20955" cy="20955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97185pt;width:1.65pt;height:1.65pt;mso-position-horizontal-relative:page;mso-position-vertical-relative:paragraph;z-index:15751168" id="docshape55" coordorigin="1670,274" coordsize="33,33" path="m1691,306l1682,306,1678,305,1671,299,1670,295,1670,286,1671,282,1678,276,1682,274,1691,274,1694,276,1701,282,1702,286,1702,290,1702,295,1701,299,1694,305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bizAZ’s,</w:t>
      </w:r>
      <w:r>
        <w:rPr>
          <w:i/>
          <w:color w:val="6E6158"/>
          <w:spacing w:val="16"/>
          <w:sz w:val="20"/>
        </w:rPr>
        <w:t> </w:t>
      </w:r>
      <w:r>
        <w:rPr>
          <w:color w:val="6E6158"/>
          <w:sz w:val="19"/>
        </w:rPr>
        <w:t>“Up-And-Coming-Attorneys,”</w:t>
      </w:r>
      <w:r>
        <w:rPr>
          <w:color w:val="6E6158"/>
          <w:spacing w:val="19"/>
          <w:sz w:val="19"/>
        </w:rPr>
        <w:t> </w:t>
      </w:r>
      <w:r>
        <w:rPr>
          <w:color w:val="6E6158"/>
          <w:spacing w:val="-4"/>
          <w:sz w:val="19"/>
        </w:rPr>
        <w:t>2005</w:t>
      </w:r>
    </w:p>
    <w:p>
      <w:pPr>
        <w:pStyle w:val="BodyText"/>
        <w:spacing w:before="1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1060346</wp:posOffset>
                </wp:positionH>
                <wp:positionV relativeFrom="paragraph">
                  <wp:posOffset>184075</wp:posOffset>
                </wp:positionV>
                <wp:extent cx="20955" cy="20955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494122pt;width:1.65pt;height:1.65pt;mso-position-horizontal-relative:page;mso-position-vertical-relative:paragraph;z-index:15751680" id="docshape56" coordorigin="1670,290" coordsize="33,33" path="m1691,322l1682,322,1678,321,1671,314,1670,311,1670,302,1671,298,1678,291,1682,290,1691,290,1694,291,1701,298,1702,302,1702,306,1702,311,1701,314,1694,321,1691,32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AV</w:t>
      </w:r>
      <w:r>
        <w:rPr>
          <w:color w:val="6E6158"/>
          <w:position w:val="7"/>
          <w:sz w:val="16"/>
        </w:rPr>
        <w:t>®</w:t>
      </w:r>
      <w:r>
        <w:rPr>
          <w:color w:val="6E6158"/>
          <w:spacing w:val="21"/>
          <w:position w:val="7"/>
          <w:sz w:val="16"/>
        </w:rPr>
        <w:t> </w:t>
      </w:r>
      <w:r>
        <w:rPr>
          <w:color w:val="6E6158"/>
        </w:rPr>
        <w:t>Preeminent™</w:t>
      </w:r>
      <w:r>
        <w:rPr>
          <w:color w:val="6E6158"/>
          <w:spacing w:val="13"/>
        </w:rPr>
        <w:t> </w:t>
      </w:r>
      <w:r>
        <w:rPr>
          <w:color w:val="6E6158"/>
        </w:rPr>
        <w:t>Peer</w:t>
      </w:r>
      <w:r>
        <w:rPr>
          <w:color w:val="6E6158"/>
          <w:spacing w:val="13"/>
        </w:rPr>
        <w:t> </w:t>
      </w:r>
      <w:r>
        <w:rPr>
          <w:color w:val="6E6158"/>
        </w:rPr>
        <w:t>Review</w:t>
      </w:r>
      <w:r>
        <w:rPr>
          <w:color w:val="6E6158"/>
          <w:spacing w:val="12"/>
        </w:rPr>
        <w:t> </w:t>
      </w:r>
      <w:r>
        <w:rPr>
          <w:color w:val="6E6158"/>
        </w:rPr>
        <w:t>Rated</w:t>
      </w:r>
      <w:r>
        <w:rPr>
          <w:color w:val="6E6158"/>
          <w:spacing w:val="13"/>
        </w:rPr>
        <w:t> </w:t>
      </w:r>
      <w:r>
        <w:rPr>
          <w:color w:val="6E6158"/>
        </w:rPr>
        <w:t>(the</w:t>
      </w:r>
      <w:r>
        <w:rPr>
          <w:color w:val="6E6158"/>
          <w:spacing w:val="12"/>
        </w:rPr>
        <w:t> </w:t>
      </w:r>
      <w:r>
        <w:rPr>
          <w:color w:val="6E6158"/>
        </w:rPr>
        <w:t>highest</w:t>
      </w:r>
      <w:r>
        <w:rPr>
          <w:color w:val="6E6158"/>
          <w:spacing w:val="13"/>
        </w:rPr>
        <w:t> </w:t>
      </w:r>
      <w:r>
        <w:rPr>
          <w:color w:val="6E6158"/>
        </w:rPr>
        <w:t>rating</w:t>
      </w:r>
      <w:r>
        <w:rPr>
          <w:color w:val="6E6158"/>
          <w:spacing w:val="13"/>
        </w:rPr>
        <w:t> </w:t>
      </w:r>
      <w:r>
        <w:rPr>
          <w:color w:val="6E6158"/>
        </w:rPr>
        <w:t>available),</w:t>
      </w:r>
      <w:r>
        <w:rPr>
          <w:color w:val="6E6158"/>
          <w:spacing w:val="12"/>
        </w:rPr>
        <w:t> </w:t>
      </w:r>
      <w:r>
        <w:rPr>
          <w:color w:val="6E6158"/>
        </w:rPr>
        <w:t>by</w:t>
      </w:r>
      <w:r>
        <w:rPr>
          <w:color w:val="6E6158"/>
          <w:spacing w:val="13"/>
        </w:rPr>
        <w:t> </w:t>
      </w:r>
      <w:r>
        <w:rPr>
          <w:color w:val="6E6158"/>
        </w:rPr>
        <w:t>Martindale-</w:t>
      </w:r>
      <w:r>
        <w:rPr>
          <w:color w:val="6E6158"/>
          <w:spacing w:val="-2"/>
        </w:rPr>
        <w:t>Hubbell</w:t>
      </w:r>
    </w:p>
    <w:p>
      <w:pPr>
        <w:pStyle w:val="BodyText"/>
        <w:spacing w:before="40"/>
        <w:ind w:left="0"/>
        <w:rPr>
          <w:sz w:val="24"/>
        </w:rPr>
      </w:pPr>
    </w:p>
    <w:p>
      <w:pPr>
        <w:pStyle w:val="Heading2"/>
        <w:spacing w:before="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1060346</wp:posOffset>
                </wp:positionH>
                <wp:positionV relativeFrom="paragraph">
                  <wp:posOffset>157511</wp:posOffset>
                </wp:positionV>
                <wp:extent cx="20955" cy="20955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02478pt;width:1.65pt;height:1.65pt;mso-position-horizontal-relative:page;mso-position-vertical-relative:paragraph;z-index:15752192" id="docshape57" coordorigin="1670,248" coordsize="33,33" path="m1691,281l1682,281,1678,279,1671,273,1670,269,1670,260,1671,256,1678,250,1682,248,1691,248,1694,250,1701,256,1702,260,1702,264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Featured,</w:t>
      </w:r>
      <w:r>
        <w:rPr>
          <w:color w:val="6E6158"/>
          <w:spacing w:val="14"/>
        </w:rPr>
        <w:t> </w:t>
      </w:r>
      <w:r>
        <w:rPr>
          <w:color w:val="6E6158"/>
        </w:rPr>
        <w:t>“</w:t>
      </w:r>
      <w:hyperlink r:id="rId11">
        <w:r>
          <w:rPr>
            <w:color w:val="F5821F"/>
          </w:rPr>
          <w:t>Top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100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Lawyers</w:t>
        </w:r>
      </w:hyperlink>
      <w:r>
        <w:rPr>
          <w:color w:val="6E6158"/>
        </w:rPr>
        <w:t>,”</w:t>
      </w:r>
      <w:r>
        <w:rPr>
          <w:color w:val="6E6158"/>
          <w:spacing w:val="14"/>
        </w:rPr>
        <w:t> </w:t>
      </w:r>
      <w:r>
        <w:rPr>
          <w:color w:val="6E6158"/>
        </w:rPr>
        <w:t>AZBusiness</w:t>
      </w:r>
      <w:r>
        <w:rPr>
          <w:color w:val="6E6158"/>
          <w:spacing w:val="15"/>
        </w:rPr>
        <w:t> </w:t>
      </w:r>
      <w:r>
        <w:rPr>
          <w:color w:val="6E6158"/>
        </w:rPr>
        <w:t>Magazine,</w:t>
      </w:r>
      <w:r>
        <w:rPr>
          <w:color w:val="6E6158"/>
          <w:spacing w:val="14"/>
        </w:rPr>
        <w:t> </w:t>
      </w:r>
      <w:r>
        <w:rPr>
          <w:color w:val="6E6158"/>
        </w:rPr>
        <w:t>January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1060346</wp:posOffset>
                </wp:positionH>
                <wp:positionV relativeFrom="paragraph">
                  <wp:posOffset>263084</wp:posOffset>
                </wp:positionV>
                <wp:extent cx="20955" cy="20955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15340pt;width:1.65pt;height:1.65pt;mso-position-horizontal-relative:page;mso-position-vertical-relative:paragraph;z-index:15752704" id="docshape58" coordorigin="1670,414" coordsize="33,33" path="m1691,447l1682,447,1678,445,1671,439,1670,435,1670,426,1671,422,1678,416,1682,414,1691,414,1694,416,1701,422,1702,426,1702,431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Featured, “Top 10 Most Influential Commercial Litigation Lawyers in Arizona for 2023,” Business</w:t>
      </w:r>
      <w:r>
        <w:rPr>
          <w:color w:val="6E6158"/>
          <w:spacing w:val="40"/>
        </w:rPr>
        <w:t> </w:t>
      </w:r>
      <w:r>
        <w:rPr>
          <w:color w:val="6E6158"/>
        </w:rPr>
        <w:t>Today, July 21, 2023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1060346</wp:posOffset>
                </wp:positionH>
                <wp:positionV relativeFrom="paragraph">
                  <wp:posOffset>117600</wp:posOffset>
                </wp:positionV>
                <wp:extent cx="20955" cy="20955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59918pt;width:1.65pt;height:1.65pt;mso-position-horizontal-relative:page;mso-position-vertical-relative:paragraph;z-index:15753728" id="docshape59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Featured,</w:t>
      </w:r>
      <w:r>
        <w:rPr>
          <w:color w:val="6E6158"/>
          <w:spacing w:val="9"/>
        </w:rPr>
        <w:t> </w:t>
      </w:r>
      <w:r>
        <w:rPr>
          <w:color w:val="6E6158"/>
        </w:rPr>
        <w:t>“Top</w:t>
      </w:r>
      <w:r>
        <w:rPr>
          <w:color w:val="6E6158"/>
          <w:spacing w:val="10"/>
        </w:rPr>
        <w:t> </w:t>
      </w:r>
      <w:r>
        <w:rPr>
          <w:color w:val="6E6158"/>
        </w:rPr>
        <w:t>100</w:t>
      </w:r>
      <w:r>
        <w:rPr>
          <w:color w:val="6E6158"/>
          <w:spacing w:val="9"/>
        </w:rPr>
        <w:t> </w:t>
      </w:r>
      <w:r>
        <w:rPr>
          <w:color w:val="6E6158"/>
        </w:rPr>
        <w:t>Lawyers</w:t>
      </w:r>
      <w:r>
        <w:rPr>
          <w:color w:val="6E6158"/>
          <w:spacing w:val="10"/>
        </w:rPr>
        <w:t> </w:t>
      </w:r>
      <w:r>
        <w:rPr>
          <w:color w:val="6E6158"/>
        </w:rPr>
        <w:t>in</w:t>
      </w:r>
      <w:r>
        <w:rPr>
          <w:color w:val="6E6158"/>
          <w:spacing w:val="10"/>
        </w:rPr>
        <w:t> </w:t>
      </w:r>
      <w:r>
        <w:rPr>
          <w:color w:val="6E6158"/>
        </w:rPr>
        <w:t>Arizona</w:t>
      </w:r>
      <w:r>
        <w:rPr>
          <w:color w:val="6E6158"/>
          <w:spacing w:val="9"/>
        </w:rPr>
        <w:t> </w:t>
      </w:r>
      <w:r>
        <w:rPr>
          <w:color w:val="6E6158"/>
        </w:rPr>
        <w:t>for</w:t>
      </w:r>
      <w:r>
        <w:rPr>
          <w:color w:val="6E6158"/>
          <w:spacing w:val="10"/>
        </w:rPr>
        <w:t> </w:t>
      </w:r>
      <w:r>
        <w:rPr>
          <w:color w:val="6E6158"/>
        </w:rPr>
        <w:t>2023,”</w:t>
      </w:r>
      <w:r>
        <w:rPr>
          <w:color w:val="6E6158"/>
          <w:spacing w:val="10"/>
        </w:rPr>
        <w:t> </w:t>
      </w:r>
      <w:r>
        <w:rPr>
          <w:color w:val="6E6158"/>
        </w:rPr>
        <w:t>AZ</w:t>
      </w:r>
      <w:r>
        <w:rPr>
          <w:color w:val="6E6158"/>
          <w:spacing w:val="9"/>
        </w:rPr>
        <w:t> </w:t>
      </w:r>
      <w:r>
        <w:rPr>
          <w:color w:val="6E6158"/>
        </w:rPr>
        <w:t>Big</w:t>
      </w:r>
      <w:r>
        <w:rPr>
          <w:color w:val="6E6158"/>
          <w:spacing w:val="10"/>
        </w:rPr>
        <w:t> </w:t>
      </w:r>
      <w:r>
        <w:rPr>
          <w:color w:val="6E6158"/>
        </w:rPr>
        <w:t>Media,</w:t>
      </w:r>
      <w:r>
        <w:rPr>
          <w:color w:val="6E6158"/>
          <w:spacing w:val="10"/>
        </w:rPr>
        <w:t> </w:t>
      </w:r>
      <w:r>
        <w:rPr>
          <w:color w:val="6E6158"/>
        </w:rPr>
        <w:t>January</w:t>
      </w:r>
      <w:r>
        <w:rPr>
          <w:color w:val="6E6158"/>
          <w:spacing w:val="9"/>
        </w:rPr>
        <w:t> </w:t>
      </w:r>
      <w:r>
        <w:rPr>
          <w:color w:val="6E6158"/>
        </w:rPr>
        <w:t>19,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line="302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1060346</wp:posOffset>
                </wp:positionH>
                <wp:positionV relativeFrom="paragraph">
                  <wp:posOffset>268346</wp:posOffset>
                </wp:positionV>
                <wp:extent cx="20955" cy="20955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29631pt;width:1.65pt;height:1.65pt;mso-position-horizontal-relative:page;mso-position-vertical-relative:paragraph;z-index:15754240" id="docshape60" coordorigin="1670,423" coordsize="33,33" path="m1691,455l1682,455,1678,454,1671,447,1670,443,1670,434,1671,431,1678,424,1682,423,1691,423,1694,424,1701,431,1702,434,1702,439,1702,443,1701,447,1694,454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2">
        <w:r>
          <w:rPr>
            <w:color w:val="F5821F"/>
          </w:rPr>
          <w:t>Interview, “Determine What is Important to You and Fully Commit to Making it a Priority,”</w:t>
        </w:r>
      </w:hyperlink>
      <w:r>
        <w:rPr>
          <w:color w:val="F5821F"/>
        </w:rPr>
        <w:t> </w:t>
      </w:r>
      <w:hyperlink r:id="rId12">
        <w:r>
          <w:rPr>
            <w:color w:val="F5821F"/>
          </w:rPr>
          <w:t>Fennemore Blog, August 19, 2021</w:t>
        </w:r>
      </w:hyperlink>
    </w:p>
    <w:p>
      <w:pPr>
        <w:spacing w:before="103" w:after="4"/>
        <w:ind w:left="351" w:right="0" w:firstLine="0"/>
        <w:jc w:val="left"/>
        <w:rPr>
          <w:sz w:val="19"/>
        </w:rPr>
      </w:pPr>
      <w:r>
        <w:rPr>
          <w:color w:val="6E6158"/>
          <w:spacing w:val="-2"/>
          <w:sz w:val="19"/>
        </w:rPr>
        <w:t>Co-author,</w:t>
      </w:r>
      <w:r>
        <w:rPr>
          <w:color w:val="6E6158"/>
          <w:spacing w:val="1"/>
          <w:sz w:val="19"/>
        </w:rPr>
        <w:t> </w:t>
      </w:r>
      <w:r>
        <w:rPr>
          <w:i/>
          <w:color w:val="6E6158"/>
          <w:spacing w:val="-2"/>
          <w:sz w:val="20"/>
        </w:rPr>
        <w:t>Practical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pacing w:val="-2"/>
          <w:sz w:val="20"/>
        </w:rPr>
        <w:t>Challenges to Enforcing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pacing w:val="-2"/>
          <w:sz w:val="20"/>
        </w:rPr>
        <w:t>Confidentiality Agreements</w:t>
      </w:r>
      <w:r>
        <w:rPr>
          <w:color w:val="6E6158"/>
          <w:spacing w:val="-2"/>
          <w:sz w:val="19"/>
        </w:rPr>
        <w:t>,</w:t>
      </w:r>
      <w:r>
        <w:rPr>
          <w:color w:val="6E6158"/>
          <w:spacing w:val="2"/>
          <w:sz w:val="19"/>
        </w:rPr>
        <w:t> </w:t>
      </w:r>
      <w:r>
        <w:rPr>
          <w:color w:val="6E6158"/>
          <w:spacing w:val="-2"/>
          <w:sz w:val="19"/>
        </w:rPr>
        <w:t>67</w:t>
      </w:r>
      <w:r>
        <w:rPr>
          <w:color w:val="6E6158"/>
          <w:spacing w:val="1"/>
          <w:sz w:val="19"/>
        </w:rPr>
        <w:t> </w:t>
      </w:r>
      <w:r>
        <w:rPr>
          <w:color w:val="6E6158"/>
          <w:spacing w:val="-2"/>
          <w:sz w:val="19"/>
        </w:rPr>
        <w:t>Rocky</w:t>
      </w:r>
      <w:r>
        <w:rPr>
          <w:color w:val="6E6158"/>
          <w:spacing w:val="2"/>
          <w:sz w:val="19"/>
        </w:rPr>
        <w:t> </w:t>
      </w:r>
      <w:r>
        <w:rPr>
          <w:color w:val="6E6158"/>
          <w:spacing w:val="-2"/>
          <w:sz w:val="19"/>
        </w:rPr>
        <w:t>Mtn.</w:t>
      </w:r>
      <w:r>
        <w:rPr>
          <w:color w:val="6E6158"/>
          <w:spacing w:val="1"/>
          <w:sz w:val="19"/>
        </w:rPr>
        <w:t> </w:t>
      </w:r>
      <w:r>
        <w:rPr>
          <w:color w:val="6E6158"/>
          <w:spacing w:val="-4"/>
          <w:sz w:val="19"/>
        </w:rPr>
        <w:t>Min.</w:t>
      </w:r>
    </w:p>
    <w:p>
      <w:pPr>
        <w:spacing w:line="32" w:lineRule="exact"/>
        <w:ind w:left="229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20955" cy="20955"/>
                <wp:effectExtent l="0" t="0" r="0" b="0"/>
                <wp:docPr id="61" name="Group 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" name="Group 61"/>
                      <wpg:cNvGrpSpPr/>
                      <wpg:grpSpPr>
                        <a:xfrm>
                          <a:off x="0" y="0"/>
                          <a:ext cx="20955" cy="20955"/>
                          <a:chExt cx="20955" cy="20955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0" y="0"/>
                            <a:ext cx="2095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20955">
                                <a:moveTo>
                                  <a:pt x="13188" y="20669"/>
                                </a:moveTo>
                                <a:lnTo>
                                  <a:pt x="7480" y="20669"/>
                                </a:lnTo>
                                <a:lnTo>
                                  <a:pt x="5044" y="19660"/>
                                </a:lnTo>
                                <a:lnTo>
                                  <a:pt x="1008" y="15624"/>
                                </a:lnTo>
                                <a:lnTo>
                                  <a:pt x="0" y="13188"/>
                                </a:lnTo>
                                <a:lnTo>
                                  <a:pt x="0" y="7480"/>
                                </a:lnTo>
                                <a:lnTo>
                                  <a:pt x="1008" y="5044"/>
                                </a:lnTo>
                                <a:lnTo>
                                  <a:pt x="5044" y="1008"/>
                                </a:lnTo>
                                <a:lnTo>
                                  <a:pt x="7480" y="0"/>
                                </a:lnTo>
                                <a:lnTo>
                                  <a:pt x="13188" y="0"/>
                                </a:lnTo>
                                <a:lnTo>
                                  <a:pt x="15624" y="1008"/>
                                </a:lnTo>
                                <a:lnTo>
                                  <a:pt x="19660" y="5044"/>
                                </a:lnTo>
                                <a:lnTo>
                                  <a:pt x="20669" y="7480"/>
                                </a:lnTo>
                                <a:lnTo>
                                  <a:pt x="20669" y="10334"/>
                                </a:lnTo>
                                <a:lnTo>
                                  <a:pt x="20669" y="13188"/>
                                </a:lnTo>
                                <a:lnTo>
                                  <a:pt x="19660" y="15624"/>
                                </a:lnTo>
                                <a:lnTo>
                                  <a:pt x="15624" y="19660"/>
                                </a:lnTo>
                                <a:lnTo>
                                  <a:pt x="13188" y="20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9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.65pt;height:1.65pt;mso-position-horizontal-relative:char;mso-position-vertical-relative:line" id="docshapegroup61" coordorigin="0,0" coordsize="33,33">
                <v:shape style="position:absolute;left:0;top:0;width:33;height:33" id="docshape62" coordorigin="0,0" coordsize="33,33" path="m21,33l12,33,8,31,2,25,0,21,0,12,2,8,8,2,12,0,21,0,25,2,31,8,33,12,33,16,33,21,31,25,25,31,21,33xe" filled="true" fillcolor="#09090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pStyle w:val="BodyText"/>
        <w:spacing w:before="13"/>
      </w:pPr>
      <w:r>
        <w:rPr>
          <w:color w:val="6E6158"/>
        </w:rPr>
        <w:t>L.</w:t>
      </w:r>
      <w:r>
        <w:rPr>
          <w:color w:val="6E6158"/>
          <w:spacing w:val="7"/>
        </w:rPr>
        <w:t> </w:t>
      </w:r>
      <w:r>
        <w:rPr>
          <w:color w:val="6E6158"/>
        </w:rPr>
        <w:t>Inst.</w:t>
      </w:r>
      <w:r>
        <w:rPr>
          <w:color w:val="6E6158"/>
          <w:spacing w:val="7"/>
        </w:rPr>
        <w:t> </w:t>
      </w:r>
      <w:r>
        <w:rPr>
          <w:color w:val="6E6158"/>
        </w:rPr>
        <w:t>18-1,</w:t>
      </w:r>
      <w:r>
        <w:rPr>
          <w:color w:val="6E6158"/>
          <w:spacing w:val="7"/>
        </w:rPr>
        <w:t> </w:t>
      </w:r>
      <w:r>
        <w:rPr>
          <w:color w:val="6E6158"/>
          <w:spacing w:val="-4"/>
        </w:rPr>
        <w:t>2021</w:t>
      </w:r>
    </w:p>
    <w:p>
      <w:pPr>
        <w:pStyle w:val="BodyText"/>
        <w:spacing w:line="417" w:lineRule="auto" w:before="1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1060346</wp:posOffset>
                </wp:positionH>
                <wp:positionV relativeFrom="paragraph">
                  <wp:posOffset>174877</wp:posOffset>
                </wp:positionV>
                <wp:extent cx="20955" cy="20955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69897pt;width:1.65pt;height:1.65pt;mso-position-horizontal-relative:page;mso-position-vertical-relative:paragraph;z-index:15754752" id="docshape63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1060346</wp:posOffset>
                </wp:positionH>
                <wp:positionV relativeFrom="paragraph">
                  <wp:posOffset>433243</wp:posOffset>
                </wp:positionV>
                <wp:extent cx="20955" cy="20955"/>
                <wp:effectExtent l="0" t="0" r="0" b="0"/>
                <wp:wrapNone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13647pt;width:1.65pt;height:1.65pt;mso-position-horizontal-relative:page;mso-position-vertical-relative:paragraph;z-index:15755264" id="docshape64" coordorigin="1670,682" coordsize="33,33" path="m1691,715l1682,715,1678,713,1671,707,1670,703,1670,694,1671,690,1678,684,1682,682,1691,682,1694,684,1701,690,1702,694,1702,699,1702,703,1701,707,1694,713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3">
        <w:r>
          <w:rPr>
            <w:color w:val="FF8100"/>
          </w:rPr>
          <w:t>Quoted, “Let’s Celebrate Random Acts of Kindness Day,” Fennemore Blog, February 18, </w:t>
        </w:r>
        <w:r>
          <w:rPr>
            <w:color w:val="FF8100"/>
          </w:rPr>
          <w:t>2021</w:t>
        </w:r>
      </w:hyperlink>
      <w:r>
        <w:rPr>
          <w:color w:val="FF8100"/>
          <w:spacing w:val="40"/>
        </w:rPr>
        <w:t> </w:t>
      </w:r>
      <w:r>
        <w:rPr>
          <w:color w:val="6E6158"/>
        </w:rPr>
        <w:t>Quoted, “e-Discovery Process Impacted by Covid-19 Crisis?” </w:t>
      </w:r>
      <w:r>
        <w:rPr>
          <w:i/>
          <w:color w:val="6E6158"/>
          <w:sz w:val="20"/>
        </w:rPr>
        <w:t>Legal Reader, </w:t>
      </w:r>
      <w:r>
        <w:rPr>
          <w:color w:val="6E6158"/>
        </w:rPr>
        <w:t>June 15 2020</w:t>
      </w:r>
    </w:p>
    <w:p>
      <w:pPr>
        <w:pStyle w:val="BodyText"/>
        <w:spacing w:line="292" w:lineRule="auto"/>
        <w:ind w:right="3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1060346</wp:posOffset>
                </wp:positionH>
                <wp:positionV relativeFrom="paragraph">
                  <wp:posOffset>146435</wp:posOffset>
                </wp:positionV>
                <wp:extent cx="20955" cy="20955"/>
                <wp:effectExtent l="0" t="0" r="0" b="0"/>
                <wp:wrapNone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530374pt;width:1.65pt;height:1.65pt;mso-position-horizontal-relative:page;mso-position-vertical-relative:paragraph;z-index:15755776" id="docshape65" coordorigin="1670,231" coordsize="33,33" path="m1691,263l1682,263,1678,262,1671,255,1670,251,1670,242,1671,239,1678,232,1682,231,1691,231,1694,232,1701,239,1702,242,1702,247,1702,251,1701,255,1694,262,1691,26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4">
        <w:r>
          <w:rPr>
            <w:color w:val="FF8100"/>
          </w:rPr>
          <w:t>Co-author, “COVID-19: Health Plan Coverage For Furloughed Employees,” Fennemore </w:t>
        </w:r>
        <w:r>
          <w:rPr>
            <w:color w:val="FF8100"/>
          </w:rPr>
          <w:t>Client</w:t>
        </w:r>
      </w:hyperlink>
      <w:r>
        <w:rPr>
          <w:color w:val="FF8100"/>
        </w:rPr>
        <w:t> </w:t>
      </w:r>
      <w:hyperlink r:id="rId14">
        <w:r>
          <w:rPr>
            <w:color w:val="FF8100"/>
          </w:rPr>
          <w:t>Alert, March 26, 2020</w:t>
        </w:r>
      </w:hyperlink>
    </w:p>
    <w:p>
      <w:pPr>
        <w:pStyle w:val="BodyText"/>
        <w:spacing w:line="297" w:lineRule="auto" w:before="114"/>
        <w:ind w:right="3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1060346</wp:posOffset>
                </wp:positionH>
                <wp:positionV relativeFrom="paragraph">
                  <wp:posOffset>317729</wp:posOffset>
                </wp:positionV>
                <wp:extent cx="20955" cy="20955"/>
                <wp:effectExtent l="0" t="0" r="0" b="0"/>
                <wp:wrapNone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018051pt;width:1.65pt;height:1.65pt;mso-position-horizontal-relative:page;mso-position-vertical-relative:paragraph;z-index:15756288" id="docshape66" coordorigin="1670,500" coordsize="33,33" path="m1691,533l1682,533,1678,531,1671,525,1670,521,1670,512,1671,508,1678,502,1682,500,1691,500,1694,502,1701,508,1702,512,1702,517,1702,521,1701,525,1694,531,1691,5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5">
        <w:r>
          <w:rPr>
            <w:color w:val="FF8100"/>
          </w:rPr>
          <w:t>Co-author, “Understanding the Emergency Family Medical Leave Expansion Act and</w:t>
        </w:r>
      </w:hyperlink>
      <w:r>
        <w:rPr>
          <w:color w:val="FF8100"/>
        </w:rPr>
        <w:t> </w:t>
      </w:r>
      <w:hyperlink r:id="rId15">
        <w:r>
          <w:rPr>
            <w:color w:val="FF8100"/>
          </w:rPr>
          <w:t>Emergency Paid Sick Leave in the Families First Coronavirus Response Act,” Fennemore </w:t>
        </w:r>
        <w:r>
          <w:rPr>
            <w:color w:val="FF8100"/>
          </w:rPr>
          <w:t>Client</w:t>
        </w:r>
      </w:hyperlink>
      <w:r>
        <w:rPr>
          <w:color w:val="FF8100"/>
          <w:spacing w:val="40"/>
        </w:rPr>
        <w:t> </w:t>
      </w:r>
      <w:hyperlink r:id="rId15">
        <w:r>
          <w:rPr>
            <w:color w:val="FF8100"/>
          </w:rPr>
          <w:t>Alert, March 20, 2020</w:t>
        </w:r>
      </w:hyperlink>
    </w:p>
    <w:p>
      <w:pPr>
        <w:pStyle w:val="BodyText"/>
        <w:spacing w:line="292" w:lineRule="auto" w:before="11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1060346</wp:posOffset>
                </wp:positionH>
                <wp:positionV relativeFrom="paragraph">
                  <wp:posOffset>227290</wp:posOffset>
                </wp:positionV>
                <wp:extent cx="20955" cy="20955"/>
                <wp:effectExtent l="0" t="0" r="0" b="0"/>
                <wp:wrapNone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896858pt;width:1.65pt;height:1.65pt;mso-position-horizontal-relative:page;mso-position-vertical-relative:paragraph;z-index:15756800" id="docshape67" coordorigin="1670,358" coordsize="33,33" path="m1691,390l1682,390,1678,389,1671,383,1670,379,1670,370,1671,366,1678,360,1682,358,1691,358,1694,360,1701,366,1702,370,1702,374,1702,379,1701,383,1694,389,1691,39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6">
        <w:r>
          <w:rPr>
            <w:color w:val="FF8100"/>
          </w:rPr>
          <w:t>Co-author, “Frequently Asked Questions About the Coronavirus in the Employment </w:t>
        </w:r>
        <w:r>
          <w:rPr>
            <w:color w:val="FF8100"/>
          </w:rPr>
          <w:t>Setting,”</w:t>
        </w:r>
      </w:hyperlink>
      <w:r>
        <w:rPr>
          <w:color w:val="FF8100"/>
        </w:rPr>
        <w:t> </w:t>
      </w:r>
      <w:hyperlink r:id="rId16">
        <w:r>
          <w:rPr>
            <w:color w:val="FF8100"/>
          </w:rPr>
          <w:t>Fennemore Client Alert, March 17, 2020</w:t>
        </w:r>
      </w:hyperlink>
    </w:p>
    <w:p>
      <w:pPr>
        <w:spacing w:before="121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1060346</wp:posOffset>
                </wp:positionH>
                <wp:positionV relativeFrom="paragraph">
                  <wp:posOffset>142797</wp:posOffset>
                </wp:positionV>
                <wp:extent cx="20955" cy="20955"/>
                <wp:effectExtent l="0" t="0" r="0" b="0"/>
                <wp:wrapNone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43871pt;width:1.65pt;height:1.65pt;mso-position-horizontal-relative:page;mso-position-vertical-relative:paragraph;z-index:15757312" id="docshape68" coordorigin="1670,225" coordsize="33,33" path="m1691,257l1682,257,1678,256,1671,249,1670,246,1670,237,1671,233,1678,226,1682,225,1691,225,1694,226,1701,233,1702,237,1702,241,1702,246,1701,249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Quoted,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“If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I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Knew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Then,”</w:t>
      </w:r>
      <w:r>
        <w:rPr>
          <w:color w:val="6E6158"/>
          <w:spacing w:val="2"/>
          <w:sz w:val="19"/>
        </w:rPr>
        <w:t> </w:t>
      </w:r>
      <w:r>
        <w:rPr>
          <w:i/>
          <w:color w:val="6E6158"/>
          <w:sz w:val="20"/>
        </w:rPr>
        <w:t>Crain’s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Phoenix,</w:t>
      </w:r>
      <w:r>
        <w:rPr>
          <w:i/>
          <w:color w:val="6E6158"/>
          <w:spacing w:val="-1"/>
          <w:sz w:val="20"/>
        </w:rPr>
        <w:t> </w:t>
      </w:r>
      <w:r>
        <w:rPr>
          <w:color w:val="6E6158"/>
          <w:sz w:val="19"/>
        </w:rPr>
        <w:t>March</w:t>
      </w:r>
      <w:r>
        <w:rPr>
          <w:color w:val="6E6158"/>
          <w:spacing w:val="2"/>
          <w:sz w:val="19"/>
        </w:rPr>
        <w:t> </w:t>
      </w:r>
      <w:r>
        <w:rPr>
          <w:color w:val="6E6158"/>
          <w:spacing w:val="-4"/>
          <w:sz w:val="19"/>
        </w:rPr>
        <w:t>2017</w:t>
      </w:r>
    </w:p>
    <w:p>
      <w:pPr>
        <w:pStyle w:val="BodyText"/>
        <w:spacing w:before="39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1060346</wp:posOffset>
                </wp:positionH>
                <wp:positionV relativeFrom="paragraph">
                  <wp:posOffset>157692</wp:posOffset>
                </wp:positionV>
                <wp:extent cx="20955" cy="20955"/>
                <wp:effectExtent l="0" t="0" r="0" b="0"/>
                <wp:wrapNone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6719pt;width:1.65pt;height:1.65pt;mso-position-horizontal-relative:page;mso-position-vertical-relative:paragraph;z-index:15757824" id="docshape69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Board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Directors,</w:t>
      </w:r>
      <w:r>
        <w:rPr>
          <w:color w:val="6E6158"/>
          <w:spacing w:val="12"/>
        </w:rPr>
        <w:t> </w:t>
      </w:r>
      <w:r>
        <w:rPr>
          <w:color w:val="6E6158"/>
        </w:rPr>
        <w:t>Christian</w:t>
      </w:r>
      <w:r>
        <w:rPr>
          <w:color w:val="6E6158"/>
          <w:spacing w:val="11"/>
        </w:rPr>
        <w:t> </w:t>
      </w:r>
      <w:r>
        <w:rPr>
          <w:color w:val="6E6158"/>
        </w:rPr>
        <w:t>Family</w:t>
      </w:r>
      <w:r>
        <w:rPr>
          <w:color w:val="6E6158"/>
          <w:spacing w:val="12"/>
        </w:rPr>
        <w:t> </w:t>
      </w:r>
      <w:r>
        <w:rPr>
          <w:color w:val="6E6158"/>
        </w:rPr>
        <w:t>Care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Agency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1060346</wp:posOffset>
                </wp:positionH>
                <wp:positionV relativeFrom="paragraph">
                  <wp:posOffset>175422</wp:posOffset>
                </wp:positionV>
                <wp:extent cx="20955" cy="20955"/>
                <wp:effectExtent l="0" t="0" r="0" b="0"/>
                <wp:wrapNone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12762pt;width:1.65pt;height:1.65pt;mso-position-horizontal-relative:page;mso-position-vertical-relative:paragraph;z-index:15758336" id="docshape70" coordorigin="1670,276" coordsize="33,33" path="m1691,309l1682,309,1678,307,1671,301,1670,297,1670,288,1671,284,1678,278,1682,276,1691,276,1694,278,1701,284,1702,288,1702,293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11"/>
        </w:rPr>
        <w:t> </w:t>
      </w:r>
      <w:r>
        <w:rPr>
          <w:color w:val="6E6158"/>
        </w:rPr>
        <w:t>Labor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Employment</w:t>
      </w:r>
      <w:r>
        <w:rPr>
          <w:color w:val="6E6158"/>
          <w:spacing w:val="12"/>
        </w:rPr>
        <w:t> </w:t>
      </w:r>
      <w:r>
        <w:rPr>
          <w:color w:val="6E6158"/>
        </w:rPr>
        <w:t>Section,</w:t>
      </w:r>
      <w:r>
        <w:rPr>
          <w:color w:val="6E6158"/>
          <w:spacing w:val="12"/>
        </w:rPr>
        <w:t> </w:t>
      </w:r>
      <w:r>
        <w:rPr>
          <w:color w:val="6E6158"/>
        </w:rPr>
        <w:t>American</w:t>
      </w:r>
      <w:r>
        <w:rPr>
          <w:color w:val="6E6158"/>
          <w:spacing w:val="11"/>
        </w:rPr>
        <w:t> </w:t>
      </w:r>
      <w:r>
        <w:rPr>
          <w:color w:val="6E6158"/>
        </w:rPr>
        <w:t>Bar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line="292" w:lineRule="auto" w:before="182"/>
        <w:ind w:right="3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1060346</wp:posOffset>
                </wp:positionH>
                <wp:positionV relativeFrom="paragraph">
                  <wp:posOffset>268384</wp:posOffset>
                </wp:positionV>
                <wp:extent cx="20955" cy="20955"/>
                <wp:effectExtent l="0" t="0" r="0" b="0"/>
                <wp:wrapNone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32673pt;width:1.65pt;height:1.65pt;mso-position-horizontal-relative:page;mso-position-vertical-relative:paragraph;z-index:15758848" id="docshape71" coordorigin="1670,423" coordsize="33,33" path="m1691,455l1682,455,1678,454,1671,447,1670,443,1670,434,1671,431,1678,424,1682,423,1691,423,1694,424,1701,431,1702,434,1702,439,1702,443,1701,447,1694,454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Former Member, The Sedona Conference Working Group 1 on Electronic </w:t>
      </w:r>
      <w:r>
        <w:rPr>
          <w:color w:val="6E6158"/>
        </w:rPr>
        <w:t>Documents Retention and Production</w:t>
      </w:r>
    </w:p>
    <w:p>
      <w:pPr>
        <w:pStyle w:val="BodyText"/>
        <w:spacing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1060346</wp:posOffset>
                </wp:positionH>
                <wp:positionV relativeFrom="paragraph">
                  <wp:posOffset>143251</wp:posOffset>
                </wp:positionV>
                <wp:extent cx="20955" cy="20955"/>
                <wp:effectExtent l="0" t="0" r="0" b="0"/>
                <wp:wrapNone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9659pt;width:1.65pt;height:1.65pt;mso-position-horizontal-relative:page;mso-position-vertical-relative:paragraph;z-index:15759360" id="docshape72" coordorigin="1670,226" coordsize="33,33" path="m1691,258l1682,258,1678,257,1671,250,1670,246,1670,237,1671,234,1678,227,1682,226,1691,226,1694,227,1701,234,1702,237,1702,242,1702,246,1701,250,1694,257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10"/>
        </w:rPr>
        <w:t> </w:t>
      </w:r>
      <w:r>
        <w:rPr>
          <w:color w:val="6E6158"/>
        </w:rPr>
        <w:t>Arizona</w:t>
      </w:r>
      <w:r>
        <w:rPr>
          <w:color w:val="6E6158"/>
          <w:spacing w:val="11"/>
        </w:rPr>
        <w:t> </w:t>
      </w:r>
      <w:r>
        <w:rPr>
          <w:color w:val="6E6158"/>
        </w:rPr>
        <w:t>Association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Defense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Counsel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1060346</wp:posOffset>
                </wp:positionH>
                <wp:positionV relativeFrom="paragraph">
                  <wp:posOffset>174951</wp:posOffset>
                </wp:positionV>
                <wp:extent cx="20955" cy="20955"/>
                <wp:effectExtent l="0" t="0" r="0" b="0"/>
                <wp:wrapNone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5698pt;width:1.65pt;height:1.65pt;mso-position-horizontal-relative:page;mso-position-vertical-relative:paragraph;z-index:15759872" id="docshape73" coordorigin="1670,276" coordsize="33,33" path="m1691,308l1682,308,1678,306,1671,300,1670,296,1670,287,1671,283,1678,277,1682,276,1691,276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Past</w:t>
      </w:r>
      <w:r>
        <w:rPr>
          <w:color w:val="6E6158"/>
          <w:spacing w:val="9"/>
        </w:rPr>
        <w:t> </w:t>
      </w:r>
      <w:r>
        <w:rPr>
          <w:color w:val="6E6158"/>
        </w:rPr>
        <w:t>Chair,</w:t>
      </w:r>
      <w:r>
        <w:rPr>
          <w:color w:val="6E6158"/>
          <w:spacing w:val="9"/>
        </w:rPr>
        <w:t> </w:t>
      </w:r>
      <w:r>
        <w:rPr>
          <w:color w:val="6E6158"/>
        </w:rPr>
        <w:t>Labor</w:t>
      </w:r>
      <w:r>
        <w:rPr>
          <w:color w:val="6E6158"/>
          <w:spacing w:val="9"/>
        </w:rPr>
        <w:t> </w:t>
      </w:r>
      <w:r>
        <w:rPr>
          <w:color w:val="6E6158"/>
        </w:rPr>
        <w:t>and</w:t>
      </w:r>
      <w:r>
        <w:rPr>
          <w:color w:val="6E6158"/>
          <w:spacing w:val="9"/>
        </w:rPr>
        <w:t> </w:t>
      </w:r>
      <w:r>
        <w:rPr>
          <w:color w:val="6E6158"/>
        </w:rPr>
        <w:t>Employment</w:t>
      </w:r>
      <w:r>
        <w:rPr>
          <w:color w:val="6E6158"/>
          <w:spacing w:val="9"/>
        </w:rPr>
        <w:t> </w:t>
      </w:r>
      <w:r>
        <w:rPr>
          <w:color w:val="6E6158"/>
        </w:rPr>
        <w:t>Section,</w:t>
      </w:r>
      <w:r>
        <w:rPr>
          <w:color w:val="6E6158"/>
          <w:spacing w:val="9"/>
        </w:rPr>
        <w:t> </w:t>
      </w:r>
      <w:r>
        <w:rPr>
          <w:color w:val="6E6158"/>
        </w:rPr>
        <w:t>State</w:t>
      </w:r>
      <w:r>
        <w:rPr>
          <w:color w:val="6E6158"/>
          <w:spacing w:val="9"/>
        </w:rPr>
        <w:t> </w:t>
      </w:r>
      <w:r>
        <w:rPr>
          <w:color w:val="6E6158"/>
        </w:rPr>
        <w:t>Bar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1060346</wp:posOffset>
                </wp:positionH>
                <wp:positionV relativeFrom="paragraph">
                  <wp:posOffset>174901</wp:posOffset>
                </wp:positionV>
                <wp:extent cx="20955" cy="20955"/>
                <wp:effectExtent l="0" t="0" r="0" b="0"/>
                <wp:wrapNone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1736pt;width:1.65pt;height:1.65pt;mso-position-horizontal-relative:page;mso-position-vertical-relative:paragraph;z-index:15760384" id="docshape74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Past</w:t>
      </w:r>
      <w:r>
        <w:rPr>
          <w:color w:val="6E6158"/>
          <w:spacing w:val="12"/>
        </w:rPr>
        <w:t> </w:t>
      </w:r>
      <w:r>
        <w:rPr>
          <w:color w:val="6E6158"/>
        </w:rPr>
        <w:t>Chair-Elect,</w:t>
      </w:r>
      <w:r>
        <w:rPr>
          <w:color w:val="6E6158"/>
          <w:spacing w:val="12"/>
        </w:rPr>
        <w:t> </w:t>
      </w:r>
      <w:r>
        <w:rPr>
          <w:color w:val="6E6158"/>
        </w:rPr>
        <w:t>Treasurer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Secretary,</w:t>
      </w:r>
      <w:r>
        <w:rPr>
          <w:color w:val="6E6158"/>
          <w:spacing w:val="13"/>
        </w:rPr>
        <w:t> </w:t>
      </w:r>
      <w:r>
        <w:rPr>
          <w:color w:val="6E6158"/>
        </w:rPr>
        <w:t>Labor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Employment</w:t>
      </w:r>
      <w:r>
        <w:rPr>
          <w:color w:val="6E6158"/>
          <w:spacing w:val="12"/>
        </w:rPr>
        <w:t> </w:t>
      </w:r>
      <w:r>
        <w:rPr>
          <w:color w:val="6E6158"/>
        </w:rPr>
        <w:t>Section,</w:t>
      </w:r>
      <w:r>
        <w:rPr>
          <w:color w:val="6E6158"/>
          <w:spacing w:val="13"/>
        </w:rPr>
        <w:t> </w:t>
      </w:r>
      <w:r>
        <w:rPr>
          <w:color w:val="6E6158"/>
        </w:rPr>
        <w:t>State</w:t>
      </w:r>
      <w:r>
        <w:rPr>
          <w:color w:val="6E6158"/>
          <w:spacing w:val="12"/>
        </w:rPr>
        <w:t> </w:t>
      </w:r>
      <w:r>
        <w:rPr>
          <w:color w:val="6E6158"/>
        </w:rPr>
        <w:t>Bar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line="292" w:lineRule="auto" w:before="174"/>
        <w:ind w:right="147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1060346</wp:posOffset>
                </wp:positionH>
                <wp:positionV relativeFrom="paragraph">
                  <wp:posOffset>262781</wp:posOffset>
                </wp:positionV>
                <wp:extent cx="20955" cy="20955"/>
                <wp:effectExtent l="0" t="0" r="0" b="0"/>
                <wp:wrapNone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691446pt;width:1.65pt;height:1.65pt;mso-position-horizontal-relative:page;mso-position-vertical-relative:paragraph;z-index:15760896" id="docshape75" coordorigin="1670,414" coordsize="33,33" path="m1691,446l1682,446,1678,445,1671,438,1670,435,1670,426,1671,422,1678,415,1682,414,1691,414,1694,415,1701,422,1702,426,1702,430,1702,435,1701,438,1694,445,1691,4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Past Chair, Continuing Legal Education Committee, Labor and Employment Section, State </w:t>
      </w:r>
      <w:r>
        <w:rPr>
          <w:color w:val="6E6158"/>
        </w:rPr>
        <w:t>Bar</w:t>
      </w:r>
      <w:r>
        <w:rPr>
          <w:color w:val="6E6158"/>
          <w:spacing w:val="40"/>
        </w:rPr>
        <w:t> </w:t>
      </w:r>
      <w:r>
        <w:rPr>
          <w:color w:val="6E6158"/>
        </w:rPr>
        <w:t>of Arizona</w:t>
      </w:r>
    </w:p>
    <w:p>
      <w:pPr>
        <w:pStyle w:val="BodyText"/>
        <w:spacing w:line="422" w:lineRule="auto" w:before="123"/>
        <w:ind w:right="631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1060346</wp:posOffset>
                </wp:positionH>
                <wp:positionV relativeFrom="paragraph">
                  <wp:posOffset>142731</wp:posOffset>
                </wp:positionV>
                <wp:extent cx="20955" cy="20955"/>
                <wp:effectExtent l="0" t="0" r="0" b="0"/>
                <wp:wrapNone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38676pt;width:1.65pt;height:1.65pt;mso-position-horizontal-relative:page;mso-position-vertical-relative:paragraph;z-index:15761408" id="docshape76" coordorigin="1670,225" coordsize="33,33" path="m1691,257l1682,257,1678,256,1671,249,1670,246,1670,237,1671,233,1678,226,1682,225,1691,225,1694,226,1701,233,1702,237,1702,241,1702,246,1701,249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1060346</wp:posOffset>
                </wp:positionH>
                <wp:positionV relativeFrom="paragraph">
                  <wp:posOffset>401096</wp:posOffset>
                </wp:positionV>
                <wp:extent cx="20955" cy="20955"/>
                <wp:effectExtent l="0" t="0" r="0" b="0"/>
                <wp:wrapNone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582418pt;width:1.65pt;height:1.65pt;mso-position-horizontal-relative:page;mso-position-vertical-relative:paragraph;z-index:15761920" id="docshape77" coordorigin="1670,632" coordsize="33,33" path="m1691,664l1682,664,1678,663,1671,656,1670,652,1670,643,1671,640,1678,633,1682,632,1691,632,1694,633,1701,640,1702,643,1702,648,1702,652,1701,656,1694,663,1691,66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1060346</wp:posOffset>
                </wp:positionH>
                <wp:positionV relativeFrom="paragraph">
                  <wp:posOffset>664629</wp:posOffset>
                </wp:positionV>
                <wp:extent cx="20955" cy="20955"/>
                <wp:effectExtent l="0" t="0" r="0" b="0"/>
                <wp:wrapNone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2.333035pt;width:1.65pt;height:1.65pt;mso-position-horizontal-relative:page;mso-position-vertical-relative:paragraph;z-index:15762432" id="docshape78" coordorigin="1670,1047" coordsize="33,33" path="m1691,1079l1682,1079,1678,1078,1671,1071,1670,1067,1670,1058,1671,1055,1678,1048,1682,1047,1691,1047,1694,1048,1701,1055,1702,1058,1702,1063,1702,1067,1701,1071,1694,1078,1691,107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Past Co-Chair, Labor and Employment Section, State Bar of Arizona’s Annual </w:t>
      </w:r>
      <w:r>
        <w:rPr>
          <w:color w:val="6E6158"/>
        </w:rPr>
        <w:t>Convention Former Arbitrator, Orange County Bar Association Mandatory Fee Arbitration Committee Former Barrister, William P. Gray Legion Lex Inn of Court Foundation</w:t>
      </w:r>
    </w:p>
    <w:p>
      <w:pPr>
        <w:pStyle w:val="Heading2"/>
        <w:spacing w:before="160"/>
      </w:pPr>
      <w:r>
        <w:rPr>
          <w:color w:val="FF8100"/>
          <w:spacing w:val="-2"/>
        </w:rPr>
        <w:t>ADMISSIONS</w:t>
      </w:r>
    </w:p>
    <w:p>
      <w:pPr>
        <w:pStyle w:val="BodyText"/>
        <w:spacing w:line="422" w:lineRule="auto" w:before="147"/>
        <w:ind w:right="74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1060346</wp:posOffset>
                </wp:positionH>
                <wp:positionV relativeFrom="paragraph">
                  <wp:posOffset>157769</wp:posOffset>
                </wp:positionV>
                <wp:extent cx="20955" cy="20955"/>
                <wp:effectExtent l="0" t="0" r="0" b="0"/>
                <wp:wrapNone/>
                <wp:docPr id="79" name="Graphic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2771pt;width:1.65pt;height:1.65pt;mso-position-horizontal-relative:page;mso-position-vertical-relative:paragraph;z-index:15762944" id="docshape79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456">
                <wp:simplePos x="0" y="0"/>
                <wp:positionH relativeFrom="page">
                  <wp:posOffset>1060346</wp:posOffset>
                </wp:positionH>
                <wp:positionV relativeFrom="paragraph">
                  <wp:posOffset>416134</wp:posOffset>
                </wp:positionV>
                <wp:extent cx="20955" cy="20955"/>
                <wp:effectExtent l="0" t="0" r="0" b="0"/>
                <wp:wrapNone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66514pt;width:1.65pt;height:1.65pt;mso-position-horizontal-relative:page;mso-position-vertical-relative:paragraph;z-index:15763456" id="docshape80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968">
                <wp:simplePos x="0" y="0"/>
                <wp:positionH relativeFrom="page">
                  <wp:posOffset>1060346</wp:posOffset>
                </wp:positionH>
                <wp:positionV relativeFrom="paragraph">
                  <wp:posOffset>679667</wp:posOffset>
                </wp:positionV>
                <wp:extent cx="20955" cy="20955"/>
                <wp:effectExtent l="0" t="0" r="0" b="0"/>
                <wp:wrapNone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3.517128pt;width:1.65pt;height:1.65pt;mso-position-horizontal-relative:page;mso-position-vertical-relative:paragraph;z-index:15763968" id="docshape81" coordorigin="1670,1070" coordsize="33,33" path="m1691,1103l1682,1103,1678,1101,1671,1095,1670,1091,1670,1082,1671,1078,1678,1072,1682,1070,1691,1070,1694,1072,1701,1078,1702,1082,1702,1087,1702,1091,1701,1095,1694,1101,1691,110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Arizona California Nevada</w:t>
      </w:r>
    </w:p>
    <w:p>
      <w:pPr>
        <w:pStyle w:val="BodyText"/>
        <w:spacing w:line="232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480">
                <wp:simplePos x="0" y="0"/>
                <wp:positionH relativeFrom="page">
                  <wp:posOffset>1060346</wp:posOffset>
                </wp:positionH>
                <wp:positionV relativeFrom="paragraph">
                  <wp:posOffset>63639</wp:posOffset>
                </wp:positionV>
                <wp:extent cx="20955" cy="20955"/>
                <wp:effectExtent l="0" t="0" r="0" b="0"/>
                <wp:wrapNone/>
                <wp:docPr id="82" name="Graphic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Graphic 8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11014pt;width:1.65pt;height:1.65pt;mso-position-horizontal-relative:page;mso-position-vertical-relative:paragraph;z-index:15764480" id="docshape82" coordorigin="1670,100" coordsize="33,33" path="m1691,133l1682,133,1678,131,1671,125,1670,121,1670,112,1671,108,1678,102,1682,100,1691,100,1694,102,1701,108,1702,112,1702,116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before="1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992">
                <wp:simplePos x="0" y="0"/>
                <wp:positionH relativeFrom="page">
                  <wp:posOffset>1060346</wp:posOffset>
                </wp:positionH>
                <wp:positionV relativeFrom="paragraph">
                  <wp:posOffset>174863</wp:posOffset>
                </wp:positionV>
                <wp:extent cx="20955" cy="20955"/>
                <wp:effectExtent l="0" t="0" r="0" b="0"/>
                <wp:wrapNone/>
                <wp:docPr id="83" name="Graphic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68808pt;width:1.65pt;height:1.65pt;mso-position-horizontal-relative:page;mso-position-vertical-relative:paragraph;z-index:15764992" id="docshape83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1"/>
        </w:rPr>
        <w:t> </w:t>
      </w:r>
      <w:r>
        <w:rPr>
          <w:color w:val="6E6158"/>
        </w:rPr>
        <w:t>Central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5504">
                <wp:simplePos x="0" y="0"/>
                <wp:positionH relativeFrom="page">
                  <wp:posOffset>1060346</wp:posOffset>
                </wp:positionH>
                <wp:positionV relativeFrom="paragraph">
                  <wp:posOffset>175448</wp:posOffset>
                </wp:positionV>
                <wp:extent cx="20955" cy="20955"/>
                <wp:effectExtent l="0" t="0" r="0" b="0"/>
                <wp:wrapNone/>
                <wp:docPr id="84" name="Graphic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Graphic 8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14847pt;width:1.65pt;height:1.65pt;mso-position-horizontal-relative:page;mso-position-vertical-relative:paragraph;z-index:15765504" id="docshape84" coordorigin="1670,276" coordsize="33,33" path="m1691,309l1682,309,1678,307,1671,301,1670,297,1670,288,1671,284,1678,278,1682,276,1691,276,1694,278,1701,284,1702,288,1702,293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Eastern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016">
                <wp:simplePos x="0" y="0"/>
                <wp:positionH relativeFrom="page">
                  <wp:posOffset>1060346</wp:posOffset>
                </wp:positionH>
                <wp:positionV relativeFrom="paragraph">
                  <wp:posOffset>174849</wp:posOffset>
                </wp:positionV>
                <wp:extent cx="20955" cy="20955"/>
                <wp:effectExtent l="0" t="0" r="0" b="0"/>
                <wp:wrapNone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67709pt;width:1.65pt;height:1.65pt;mso-position-horizontal-relative:page;mso-position-vertical-relative:paragraph;z-index:15766016" id="docshape85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Northern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528">
                <wp:simplePos x="0" y="0"/>
                <wp:positionH relativeFrom="page">
                  <wp:posOffset>1060346</wp:posOffset>
                </wp:positionH>
                <wp:positionV relativeFrom="paragraph">
                  <wp:posOffset>175434</wp:posOffset>
                </wp:positionV>
                <wp:extent cx="20955" cy="20955"/>
                <wp:effectExtent l="0" t="0" r="0" b="0"/>
                <wp:wrapNone/>
                <wp:docPr id="86" name="Graphic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Graphic 8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13746pt;width:1.65pt;height:1.65pt;mso-position-horizontal-relative:page;mso-position-vertical-relative:paragraph;z-index:15766528" id="docshape86" coordorigin="1670,276" coordsize="33,33" path="m1691,309l1682,309,1678,307,1671,301,1670,297,1670,288,1671,284,1678,278,1682,276,1691,276,1694,278,1701,284,1702,288,1702,293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Southern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after="0"/>
        <w:sectPr>
          <w:pgSz w:w="12240" w:h="15840"/>
          <w:pgMar w:top="500" w:bottom="280" w:left="1440" w:right="1440"/>
        </w:sectPr>
      </w:pPr>
    </w:p>
    <w:p>
      <w:pPr>
        <w:pStyle w:val="BodyText"/>
        <w:spacing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7040">
                <wp:simplePos x="0" y="0"/>
                <wp:positionH relativeFrom="page">
                  <wp:posOffset>1060346</wp:posOffset>
                </wp:positionH>
                <wp:positionV relativeFrom="paragraph">
                  <wp:posOffset>117603</wp:posOffset>
                </wp:positionV>
                <wp:extent cx="20955" cy="20955"/>
                <wp:effectExtent l="0" t="0" r="0" b="0"/>
                <wp:wrapNone/>
                <wp:docPr id="87" name="Graphic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Graphic 8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101pt;width:1.65pt;height:1.65pt;mso-position-horizontal-relative:page;mso-position-vertical-relative:paragraph;z-index:15767040" id="docshape87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11"/>
        </w:rPr>
        <w:t> </w:t>
      </w:r>
      <w:r>
        <w:rPr>
          <w:color w:val="6E6158"/>
        </w:rPr>
        <w:t>Ninth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amy@fennemorelaw.com" TargetMode="External"/><Relationship Id="rId11" Type="http://schemas.openxmlformats.org/officeDocument/2006/relationships/hyperlink" Target="https://azbigmedia.com/publications/azbusiness-january-february-2025/" TargetMode="External"/><Relationship Id="rId12" Type="http://schemas.openxmlformats.org/officeDocument/2006/relationships/hyperlink" Target="https://www.fennemorelaw.com/determine-what-is-important-to-you-and-fully-commit-to-making-it-a-priority/" TargetMode="External"/><Relationship Id="rId13" Type="http://schemas.openxmlformats.org/officeDocument/2006/relationships/hyperlink" Target="https://www.fennemorelaw.com/insights/blogs/2021/let-s-celebrate-random-acts-of-kindness-day" TargetMode="External"/><Relationship Id="rId14" Type="http://schemas.openxmlformats.org/officeDocument/2006/relationships/hyperlink" Target="https://www.fennemorelaw.com/insights/newsletters/2020/covid-19-health-plan-coverage-for-furloughed-employees" TargetMode="External"/><Relationship Id="rId15" Type="http://schemas.openxmlformats.org/officeDocument/2006/relationships/hyperlink" Target="https://www.fennemorelaw.com/insights/newsletters/2020/understanding-the-emergency-family-medical-leave-expansion-act-and-emergency-paid-sick-leave-in-the-families-first-coronavirus-response-act" TargetMode="External"/><Relationship Id="rId16" Type="http://schemas.openxmlformats.org/officeDocument/2006/relationships/hyperlink" Target="https://www.fennemorelaw.com/insights/newsletters/2020/frequently-asked-questions-about-the-coronavirus-in-the-employment-setting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Amy Abdo - Fennemore</dc:title>
  <dcterms:created xsi:type="dcterms:W3CDTF">2026-04-27T20:34:04Z</dcterms:created>
  <dcterms:modified xsi:type="dcterms:W3CDTF">2026-04-27T20:34:04Z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2026-04-27T00:00:00Z</vt:filetime>
  </property>
  <property fmtid="{D5CDD505-2E9C-101B-9397-08002B2CF9AE}" pid="4" name="Creator">
    <vt:lpwstr>Chromium</vt:lpwstr>
  </property>
  <property fmtid="{D5CDD505-2E9C-101B-9397-08002B2CF9AE}" pid="5" name="LastSaved">
    <vt:filetime>2026-04-27T00:00:00Z</vt:filetime>
  </property>
  <property fmtid="{D5CDD505-2E9C-101B-9397-08002B2CF9AE}" pid="6" name="Producer">
    <vt:lpwstr>Skia/PDF m146</vt:lpwstr>
  </property>
</Properties>
</file>