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1"/>
        <w:ind w:left="0"/>
        <w:rPr>
          <w:rFonts w:ascii="Times New Roman"/>
        </w:rPr>
      </w:pPr>
    </w:p>
    <w:p>
      <w:pPr>
        <w:pStyle w:val="BodyText"/>
        <w:spacing w:line="295" w:lineRule="auto"/>
        <w:ind w:left="99"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ndrea Marconi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18437" y="763308"/>
                            <a:ext cx="128333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ANDREA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MARCONI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602.916.5535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amarconi@fennemorelaw.com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64206" y="3756030"/>
                            <a:ext cx="315976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question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isn't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me;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it's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stop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me.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-Ayn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Rand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58750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ANDREA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MARCONI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Andrea Marconi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06;top:-6403;width:2021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ANDREA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MARCONI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602.916.5535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amarconi@fennemorelaw.com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642;top:-1690;width:4976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question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isn't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me;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it's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stop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me.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-Ayn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Rand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500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ANDREA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L.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MARCONI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Andrea</w:t>
      </w:r>
      <w:r>
        <w:rPr>
          <w:color w:val="6E6158"/>
          <w:spacing w:val="29"/>
        </w:rPr>
        <w:t> </w:t>
      </w:r>
      <w:r>
        <w:rPr>
          <w:color w:val="6E6158"/>
        </w:rPr>
        <w:t>Marconi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experienced</w:t>
      </w:r>
      <w:r>
        <w:rPr>
          <w:color w:val="6E6158"/>
          <w:spacing w:val="29"/>
        </w:rPr>
        <w:t> </w:t>
      </w:r>
      <w:r>
        <w:rPr>
          <w:color w:val="6E6158"/>
        </w:rPr>
        <w:t>complex</w:t>
      </w:r>
      <w:r>
        <w:rPr>
          <w:color w:val="6E6158"/>
          <w:spacing w:val="29"/>
        </w:rPr>
        <w:t> </w:t>
      </w:r>
      <w:r>
        <w:rPr>
          <w:color w:val="6E6158"/>
        </w:rPr>
        <w:t>commercial</w:t>
      </w:r>
      <w:r>
        <w:rPr>
          <w:color w:val="6E6158"/>
          <w:spacing w:val="29"/>
        </w:rPr>
        <w:t> </w:t>
      </w:r>
      <w:r>
        <w:rPr>
          <w:color w:val="6E6158"/>
        </w:rPr>
        <w:t>litigator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serves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Chair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 firm’s business litigation practice group. Her broad spectrum of work encompasses many areas,</w:t>
      </w:r>
      <w:r>
        <w:rPr>
          <w:color w:val="6E6158"/>
          <w:spacing w:val="40"/>
        </w:rPr>
        <w:t> </w:t>
      </w:r>
      <w:r>
        <w:rPr>
          <w:color w:val="6E6158"/>
        </w:rPr>
        <w:t>including both representing and litigating cases against public entities and regulatory agencies,</w:t>
      </w:r>
      <w:r>
        <w:rPr>
          <w:color w:val="6E6158"/>
          <w:spacing w:val="40"/>
        </w:rPr>
        <w:t> </w:t>
      </w:r>
      <w:r>
        <w:rPr>
          <w:color w:val="6E6158"/>
        </w:rPr>
        <w:t>high value tort matters, insurance coverage and indemnity matters, and financial services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such as payment processing, credit card processing, and ACH transactions. In addition, Andrea</w:t>
      </w:r>
      <w:r>
        <w:rPr>
          <w:color w:val="6E6158"/>
          <w:spacing w:val="40"/>
        </w:rPr>
        <w:t> </w:t>
      </w:r>
      <w:r>
        <w:rPr>
          <w:color w:val="6E6158"/>
        </w:rPr>
        <w:t>has significant experience representing entities throughout the healthcare industry, including</w:t>
      </w:r>
      <w:r>
        <w:rPr>
          <w:color w:val="6E6158"/>
          <w:spacing w:val="40"/>
        </w:rPr>
        <w:t> </w:t>
      </w:r>
      <w:r>
        <w:rPr>
          <w:color w:val="6E6158"/>
        </w:rPr>
        <w:t>representing health insurers, providers, and medical billing companies in numerous matters such</w:t>
      </w:r>
      <w:r>
        <w:rPr>
          <w:color w:val="6E6158"/>
          <w:spacing w:val="80"/>
        </w:rPr>
        <w:t> </w:t>
      </w:r>
      <w:r>
        <w:rPr>
          <w:color w:val="6E6158"/>
        </w:rPr>
        <w:t>as coverage issues, regulatory and compliance matters, ERISA claims, and defense of bad faith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31"/>
        </w:rPr>
        <w:t> </w:t>
      </w:r>
      <w:r>
        <w:rPr>
          <w:color w:val="6E6158"/>
        </w:rPr>
        <w:t>Routinely</w:t>
      </w:r>
      <w:r>
        <w:rPr>
          <w:color w:val="6E6158"/>
          <w:spacing w:val="31"/>
        </w:rPr>
        <w:t> </w:t>
      </w:r>
      <w:r>
        <w:rPr>
          <w:color w:val="6E6158"/>
        </w:rPr>
        <w:t>arbitrating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contesting</w:t>
      </w:r>
      <w:r>
        <w:rPr>
          <w:color w:val="6E6158"/>
          <w:spacing w:val="31"/>
        </w:rPr>
        <w:t> </w:t>
      </w:r>
      <w:r>
        <w:rPr>
          <w:color w:val="6E6158"/>
        </w:rPr>
        <w:t>cases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courts</w:t>
      </w:r>
      <w:r>
        <w:rPr>
          <w:color w:val="6E6158"/>
          <w:spacing w:val="31"/>
        </w:rPr>
        <w:t> </w:t>
      </w:r>
      <w:r>
        <w:rPr>
          <w:color w:val="6E6158"/>
        </w:rPr>
        <w:t>around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</w:p>
    <w:p>
      <w:pPr>
        <w:pStyle w:val="BodyText"/>
        <w:spacing w:before="9"/>
        <w:ind w:left="99"/>
      </w:pPr>
      <w:r>
        <w:rPr>
          <w:color w:val="6E6158"/>
        </w:rPr>
        <w:t>country,</w:t>
      </w:r>
      <w:r>
        <w:rPr>
          <w:color w:val="6E6158"/>
          <w:spacing w:val="11"/>
        </w:rPr>
        <w:t> </w:t>
      </w:r>
      <w:r>
        <w:rPr>
          <w:color w:val="6E6158"/>
        </w:rPr>
        <w:t>she</w:t>
      </w:r>
      <w:r>
        <w:rPr>
          <w:color w:val="6E6158"/>
          <w:spacing w:val="11"/>
        </w:rPr>
        <w:t> </w:t>
      </w:r>
      <w:r>
        <w:rPr>
          <w:color w:val="6E6158"/>
        </w:rPr>
        <w:t>also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1"/>
        </w:rPr>
        <w:t> </w:t>
      </w:r>
      <w:r>
        <w:rPr>
          <w:color w:val="6E6158"/>
        </w:rPr>
        <w:t>extensive</w:t>
      </w:r>
      <w:r>
        <w:rPr>
          <w:color w:val="6E6158"/>
          <w:spacing w:val="11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</w:rPr>
        <w:t>litigating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array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contract</w:t>
      </w:r>
    </w:p>
    <w:p>
      <w:pPr>
        <w:pStyle w:val="BodyText"/>
        <w:spacing w:line="292" w:lineRule="auto" w:before="52"/>
        <w:ind w:left="99"/>
      </w:pPr>
      <w:r>
        <w:rPr>
          <w:color w:val="6E6158"/>
        </w:rPr>
        <w:t>disputes, public entity immunity issues, franchise litigation, restrictive covenants, and trade </w:t>
      </w:r>
      <w:r>
        <w:rPr>
          <w:color w:val="6E6158"/>
        </w:rPr>
        <w:t>secret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7" w:lineRule="auto" w:before="196"/>
        <w:ind w:left="99" w:right="225"/>
      </w:pPr>
      <w:r>
        <w:rPr>
          <w:color w:val="6E6158"/>
        </w:rPr>
        <w:t>Although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did</w:t>
      </w:r>
      <w:r>
        <w:rPr>
          <w:color w:val="6E6158"/>
          <w:spacing w:val="24"/>
        </w:rPr>
        <w:t> </w:t>
      </w:r>
      <w:r>
        <w:rPr>
          <w:color w:val="6E6158"/>
        </w:rPr>
        <w:t>not</w:t>
      </w:r>
      <w:r>
        <w:rPr>
          <w:color w:val="6E6158"/>
          <w:spacing w:val="24"/>
        </w:rPr>
        <w:t> </w:t>
      </w:r>
      <w:r>
        <w:rPr>
          <w:color w:val="6E6158"/>
        </w:rPr>
        <w:t>come</w:t>
      </w:r>
      <w:r>
        <w:rPr>
          <w:color w:val="6E6158"/>
          <w:spacing w:val="24"/>
        </w:rPr>
        <w:t> </w:t>
      </w:r>
      <w:r>
        <w:rPr>
          <w:color w:val="6E6158"/>
        </w:rPr>
        <w:t>from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family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attorneys,</w:t>
      </w:r>
      <w:r>
        <w:rPr>
          <w:color w:val="6E6158"/>
          <w:spacing w:val="24"/>
        </w:rPr>
        <w:t> </w:t>
      </w:r>
      <w:r>
        <w:rPr>
          <w:color w:val="6E6158"/>
        </w:rPr>
        <w:t>Andrea</w:t>
      </w:r>
      <w:r>
        <w:rPr>
          <w:color w:val="6E6158"/>
          <w:spacing w:val="24"/>
        </w:rPr>
        <w:t> </w:t>
      </w:r>
      <w:r>
        <w:rPr>
          <w:color w:val="6E6158"/>
        </w:rPr>
        <w:t>knew</w:t>
      </w:r>
      <w:r>
        <w:rPr>
          <w:color w:val="6E6158"/>
          <w:spacing w:val="24"/>
        </w:rPr>
        <w:t> </w:t>
      </w:r>
      <w:r>
        <w:rPr>
          <w:color w:val="6E6158"/>
        </w:rPr>
        <w:t>early</w:t>
      </w:r>
      <w:r>
        <w:rPr>
          <w:color w:val="6E6158"/>
          <w:spacing w:val="24"/>
        </w:rPr>
        <w:t> </w:t>
      </w:r>
      <w:r>
        <w:rPr>
          <w:color w:val="6E6158"/>
        </w:rPr>
        <w:t>on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calling was to be an attorney. She has always loved analyzing problems, persuading others as to her</w:t>
      </w:r>
      <w:r>
        <w:rPr>
          <w:color w:val="6E6158"/>
          <w:spacing w:val="40"/>
        </w:rPr>
        <w:t> </w:t>
      </w:r>
      <w:r>
        <w:rPr>
          <w:color w:val="6E6158"/>
        </w:rPr>
        <w:t>opinion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facts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arguing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her</w:t>
      </w:r>
      <w:r>
        <w:rPr>
          <w:color w:val="6E6158"/>
          <w:spacing w:val="11"/>
        </w:rPr>
        <w:t> </w:t>
      </w:r>
      <w:r>
        <w:rPr>
          <w:color w:val="6E6158"/>
        </w:rPr>
        <w:t>father</w:t>
      </w:r>
      <w:r>
        <w:rPr>
          <w:color w:val="6E6158"/>
          <w:spacing w:val="11"/>
        </w:rPr>
        <w:t> </w:t>
      </w:r>
      <w:r>
        <w:rPr>
          <w:color w:val="6E6158"/>
        </w:rPr>
        <w:t>—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often</w:t>
      </w:r>
      <w:r>
        <w:rPr>
          <w:color w:val="6E6158"/>
          <w:spacing w:val="11"/>
        </w:rPr>
        <w:t> </w:t>
      </w:r>
      <w:r>
        <w:rPr>
          <w:color w:val="6E6158"/>
        </w:rPr>
        <w:t>winning</w:t>
      </w:r>
      <w:r>
        <w:rPr>
          <w:color w:val="6E6158"/>
          <w:spacing w:val="11"/>
        </w:rPr>
        <w:t> </w:t>
      </w:r>
      <w:r>
        <w:rPr>
          <w:color w:val="6E6158"/>
        </w:rPr>
        <w:t>—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kitchen</w:t>
      </w:r>
      <w:r>
        <w:rPr>
          <w:color w:val="6E6158"/>
          <w:spacing w:val="11"/>
        </w:rPr>
        <w:t> </w:t>
      </w:r>
      <w:r>
        <w:rPr>
          <w:color w:val="6E6158"/>
        </w:rPr>
        <w:t>table.</w:t>
      </w:r>
      <w:r>
        <w:rPr>
          <w:color w:val="6E6158"/>
          <w:spacing w:val="11"/>
        </w:rPr>
        <w:t> </w:t>
      </w:r>
      <w:r>
        <w:rPr>
          <w:color w:val="6E6158"/>
        </w:rPr>
        <w:t>As a business litigation attorney, she now advises a diverse group of clients, including individuals,</w:t>
      </w:r>
      <w:r>
        <w:rPr>
          <w:color w:val="6E6158"/>
          <w:spacing w:val="80"/>
        </w:rPr>
        <w:t> </w:t>
      </w:r>
      <w:r>
        <w:rPr>
          <w:color w:val="6E6158"/>
        </w:rPr>
        <w:t>small and mid-sized businesses, and Fortune 500 companies.</w:t>
      </w:r>
    </w:p>
    <w:p>
      <w:pPr>
        <w:pStyle w:val="BodyText"/>
        <w:spacing w:line="295" w:lineRule="auto" w:before="192"/>
        <w:ind w:left="99" w:right="315"/>
      </w:pPr>
      <w:r>
        <w:rPr>
          <w:color w:val="6E6158"/>
        </w:rPr>
        <w:t>She litigates disputes from start to finish — and often resolves these cases before they need to be</w:t>
      </w:r>
      <w:r>
        <w:rPr>
          <w:color w:val="6E6158"/>
          <w:spacing w:val="40"/>
        </w:rPr>
        <w:t> </w:t>
      </w:r>
      <w:r>
        <w:rPr>
          <w:color w:val="6E6158"/>
        </w:rPr>
        <w:t>addressed in the courthouse. She continues to study the art and science of disagreements, and</w:t>
      </w:r>
      <w:r>
        <w:rPr>
          <w:color w:val="6E6158"/>
          <w:spacing w:val="40"/>
        </w:rPr>
        <w:t> </w:t>
      </w:r>
      <w:r>
        <w:rPr>
          <w:color w:val="6E6158"/>
        </w:rPr>
        <w:t>how to best solve them, which is often conducive to long-term relationships with her clients. She</w:t>
      </w:r>
      <w:r>
        <w:rPr>
          <w:color w:val="6E6158"/>
          <w:spacing w:val="40"/>
        </w:rPr>
        <w:t> </w:t>
      </w:r>
      <w:r>
        <w:rPr>
          <w:color w:val="6E6158"/>
        </w:rPr>
        <w:t>frequently takes the role of outside general counsel, looking at ways of avoiding ambiguity that</w:t>
      </w:r>
      <w:r>
        <w:rPr>
          <w:color w:val="6E6158"/>
          <w:spacing w:val="40"/>
        </w:rPr>
        <w:t> </w:t>
      </w:r>
      <w:r>
        <w:rPr>
          <w:color w:val="6E6158"/>
        </w:rPr>
        <w:t>could lead to costly disputes in the future. While not afraid to fight when necessary, Andrea’s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28"/>
        </w:rPr>
        <w:t> </w:t>
      </w:r>
      <w:r>
        <w:rPr>
          <w:color w:val="6E6158"/>
        </w:rPr>
        <w:t>throughout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career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been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learn</w:t>
      </w:r>
      <w:r>
        <w:rPr>
          <w:color w:val="6E6158"/>
          <w:spacing w:val="28"/>
        </w:rPr>
        <w:t> </w:t>
      </w:r>
      <w:r>
        <w:rPr>
          <w:color w:val="6E6158"/>
        </w:rPr>
        <w:t>her</w:t>
      </w:r>
      <w:r>
        <w:rPr>
          <w:color w:val="6E6158"/>
          <w:spacing w:val="28"/>
        </w:rPr>
        <w:t> </w:t>
      </w:r>
      <w:r>
        <w:rPr>
          <w:color w:val="6E6158"/>
        </w:rPr>
        <w:t>clients’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inside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out,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550"/>
      </w:pPr>
      <w:r>
        <w:rPr>
          <w:color w:val="6E6158"/>
        </w:rPr>
        <w:t>understanding</w:t>
      </w:r>
      <w:r>
        <w:rPr>
          <w:color w:val="6E6158"/>
          <w:spacing w:val="16"/>
        </w:rPr>
        <w:t> </w:t>
      </w:r>
      <w:r>
        <w:rPr>
          <w:color w:val="6E6158"/>
        </w:rPr>
        <w:t>critical</w:t>
      </w:r>
      <w:r>
        <w:rPr>
          <w:color w:val="6E6158"/>
          <w:spacing w:val="16"/>
        </w:rPr>
        <w:t> </w:t>
      </w:r>
      <w:r>
        <w:rPr>
          <w:color w:val="6E6158"/>
        </w:rPr>
        <w:t>issues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proactively</w:t>
      </w:r>
      <w:r>
        <w:rPr>
          <w:color w:val="6E6158"/>
          <w:spacing w:val="16"/>
        </w:rPr>
        <w:t> </w:t>
      </w:r>
      <w:r>
        <w:rPr>
          <w:color w:val="6E6158"/>
        </w:rPr>
        <w:t>handling</w:t>
      </w:r>
      <w:r>
        <w:rPr>
          <w:color w:val="6E6158"/>
          <w:spacing w:val="16"/>
        </w:rPr>
        <w:t> </w:t>
      </w:r>
      <w:r>
        <w:rPr>
          <w:color w:val="6E6158"/>
        </w:rPr>
        <w:t>any</w:t>
      </w:r>
      <w:r>
        <w:rPr>
          <w:color w:val="6E6158"/>
          <w:spacing w:val="16"/>
        </w:rPr>
        <w:t> </w:t>
      </w:r>
      <w:r>
        <w:rPr>
          <w:color w:val="6E6158"/>
        </w:rPr>
        <w:t>problems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an</w:t>
      </w:r>
      <w:r>
        <w:rPr>
          <w:color w:val="6E6158"/>
          <w:spacing w:val="16"/>
        </w:rPr>
        <w:t> </w:t>
      </w:r>
      <w:r>
        <w:rPr>
          <w:color w:val="6E6158"/>
        </w:rPr>
        <w:t>efficient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cost-effective manner.</w:t>
      </w:r>
    </w:p>
    <w:p>
      <w:pPr>
        <w:pStyle w:val="BodyText"/>
        <w:spacing w:line="295" w:lineRule="auto" w:before="205"/>
        <w:ind w:left="99" w:right="223"/>
      </w:pPr>
      <w:r>
        <w:rPr>
          <w:color w:val="6E6158"/>
        </w:rPr>
        <w:t>When not litigating, Andrea is probably volunteering in the community. Her passion for animal</w:t>
      </w:r>
      <w:r>
        <w:rPr>
          <w:color w:val="6E6158"/>
          <w:spacing w:val="40"/>
        </w:rPr>
        <w:t> </w:t>
      </w:r>
      <w:r>
        <w:rPr>
          <w:color w:val="6E6158"/>
        </w:rPr>
        <w:t>welfare is showcased in her efforts as the past chair and longtime member of the Arizona</w:t>
      </w:r>
      <w:r>
        <w:rPr>
          <w:color w:val="6E6158"/>
          <w:spacing w:val="80"/>
        </w:rPr>
        <w:t> </w:t>
      </w:r>
      <w:r>
        <w:rPr>
          <w:color w:val="6E6158"/>
        </w:rPr>
        <w:t>Humane Society’s board of directors. Andrea is also Chair-elect and a member of the Chandler</w:t>
      </w:r>
      <w:r>
        <w:rPr>
          <w:color w:val="6E6158"/>
          <w:spacing w:val="40"/>
        </w:rPr>
        <w:t> </w:t>
      </w:r>
      <w:r>
        <w:rPr>
          <w:color w:val="6E6158"/>
        </w:rPr>
        <w:t>Chamber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Commerce</w:t>
      </w:r>
      <w:r>
        <w:rPr>
          <w:color w:val="6E6158"/>
          <w:spacing w:val="19"/>
        </w:rPr>
        <w:t> </w:t>
      </w:r>
      <w:r>
        <w:rPr>
          <w:color w:val="6E6158"/>
        </w:rPr>
        <w:t>Board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Directors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involved</w:t>
      </w:r>
      <w:r>
        <w:rPr>
          <w:color w:val="6E6158"/>
          <w:spacing w:val="19"/>
        </w:rPr>
        <w:t> </w:t>
      </w:r>
      <w:r>
        <w:rPr>
          <w:color w:val="6E6158"/>
        </w:rPr>
        <w:t>in</w:t>
      </w:r>
      <w:r>
        <w:rPr>
          <w:color w:val="6E6158"/>
          <w:spacing w:val="19"/>
        </w:rPr>
        <w:t> </w:t>
      </w:r>
      <w:r>
        <w:rPr>
          <w:color w:val="6E6158"/>
        </w:rPr>
        <w:t>volunteering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ICAN</w:t>
      </w:r>
      <w:r>
        <w:rPr>
          <w:color w:val="6E6158"/>
          <w:spacing w:val="19"/>
        </w:rPr>
        <w:t> </w:t>
      </w:r>
      <w:r>
        <w:rPr>
          <w:color w:val="6E6158"/>
        </w:rPr>
        <w:t>–</w:t>
      </w:r>
      <w:r>
        <w:rPr>
          <w:color w:val="6E6158"/>
          <w:spacing w:val="19"/>
        </w:rPr>
        <w:t> </w:t>
      </w:r>
      <w:r>
        <w:rPr>
          <w:color w:val="6E6158"/>
        </w:rPr>
        <w:t>an</w:t>
      </w:r>
      <w:r>
        <w:rPr>
          <w:color w:val="6E6158"/>
          <w:spacing w:val="19"/>
        </w:rPr>
        <w:t> </w:t>
      </w:r>
      <w:r>
        <w:rPr>
          <w:color w:val="6E6158"/>
        </w:rPr>
        <w:t>award-winning and nationally recognized youth development program. She is also a member of the</w:t>
      </w:r>
      <w:r>
        <w:rPr>
          <w:color w:val="6E6158"/>
          <w:spacing w:val="40"/>
        </w:rPr>
        <w:t> </w:t>
      </w:r>
      <w:r>
        <w:rPr>
          <w:color w:val="6E6158"/>
        </w:rPr>
        <w:t>national Board of Directors for the Federal Bar Association and a national leader with the FBA’s</w:t>
      </w:r>
      <w:r>
        <w:rPr>
          <w:color w:val="6E6158"/>
          <w:spacing w:val="40"/>
        </w:rPr>
        <w:t> </w:t>
      </w:r>
      <w:r>
        <w:rPr>
          <w:color w:val="6E6158"/>
        </w:rPr>
        <w:t>Federal Litigation Section.</w:t>
      </w:r>
    </w:p>
    <w:p>
      <w:pPr>
        <w:pStyle w:val="BodyText"/>
        <w:spacing w:line="302" w:lineRule="auto" w:before="191"/>
        <w:ind w:left="99" w:right="315"/>
      </w:pPr>
      <w:r>
        <w:rPr>
          <w:color w:val="6E6158"/>
        </w:rPr>
        <w:t>Her two sons, Taylor and Brady, are her pride and joy, and her weekends are spent at their numerous sports and other events.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right="27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158038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007pt;width:1.65pt;height:1.65pt;mso-position-horizontal-relative:page;mso-position-vertical-relative:paragraph;z-index:15729152" id="docshape13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416404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7739pt;width:1.65pt;height:1.65pt;mso-position-horizontal-relative:page;mso-position-vertical-relative:paragraph;z-index:15729664" id="docshape1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Political Science, Sociology, University of Arizona</w:t>
      </w:r>
    </w:p>
    <w:p>
      <w:pPr>
        <w:spacing w:before="168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64863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7352pt;width:1.65pt;height:1.65pt;mso-position-horizontal-relative:page;mso-position-vertical-relative:paragraph;z-index:15730176" id="docshape15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line="427" w:lineRule="auto" w:before="174"/>
        <w:ind w:right="69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175303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394pt;width:1.65pt;height:1.65pt;mso-position-horizontal-relative:page;mso-position-vertical-relative:paragraph;z-index:15730688" id="docshape1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433668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7118pt;width:1.65pt;height:1.65pt;mso-position-horizontal-relative:page;mso-position-vertical-relative:paragraph;z-index:15731200" id="docshape17" coordorigin="1670,683" coordsize="33,33" path="m1691,715l1682,715,1678,714,1671,708,1670,704,1670,695,1671,691,1678,685,1682,683,1691,683,1694,685,1701,691,1702,695,1702,699,1702,704,1701,708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BodyText"/>
        <w:spacing w:line="420" w:lineRule="auto"/>
        <w:ind w:right="69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60096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32004pt;width:1.65pt;height:1.65pt;mso-position-horizontal-relative:page;mso-position-vertical-relative:paragraph;z-index:15731712" id="docshape18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318462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5748pt;width:1.65pt;height:1.65pt;mso-position-horizontal-relative:page;mso-position-vertical-relative:paragraph;z-index:15732224" id="docshape19" coordorigin="1670,502" coordsize="33,33" path="m1691,534l1682,534,1678,532,1671,526,1670,522,1670,513,1671,509,1678,503,1682,502,1691,502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Intellectual </w:t>
      </w:r>
      <w:r>
        <w:rPr>
          <w:color w:val="6E6158"/>
        </w:rPr>
        <w:t>Property</w:t>
      </w:r>
    </w:p>
    <w:p>
      <w:pPr>
        <w:pStyle w:val="Heading2"/>
        <w:spacing w:before="16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2" w:lineRule="auto" w:before="146"/>
        <w:ind w:right="2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426246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562710pt;width:1.65pt;height:1.65pt;mso-position-horizontal-relative:page;mso-position-vertical-relative:paragraph;z-index:15732736" id="docshape20" coordorigin="1670,671" coordsize="33,33" path="m1691,704l1682,704,1678,702,1671,696,1670,692,1670,683,1671,679,1678,673,1682,671,1691,671,1694,673,1701,679,1702,683,1702,688,1702,692,1701,696,1694,702,1691,7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Arizona,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Department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Transportation,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more</w:t>
      </w:r>
      <w:r>
        <w:rPr>
          <w:color w:val="6E6158"/>
          <w:spacing w:val="15"/>
        </w:rPr>
        <w:t> </w:t>
      </w:r>
      <w:r>
        <w:rPr>
          <w:color w:val="6E6158"/>
        </w:rPr>
        <w:t>than</w:t>
      </w:r>
      <w:r>
        <w:rPr>
          <w:color w:val="6E6158"/>
          <w:spacing w:val="15"/>
        </w:rPr>
        <w:t> </w:t>
      </w:r>
      <w:r>
        <w:rPr>
          <w:color w:val="6E6158"/>
        </w:rPr>
        <w:t>four-year long litigation resulting from flooding that damaged properties in Southern Arizona,</w:t>
      </w:r>
      <w:r>
        <w:rPr>
          <w:color w:val="6E6158"/>
          <w:spacing w:val="40"/>
        </w:rPr>
        <w:t> </w:t>
      </w:r>
      <w:r>
        <w:rPr>
          <w:color w:val="6E6158"/>
        </w:rPr>
        <w:t>culminating in a 2-week trial after which the court found in favor of the State of Arizona on all</w:t>
      </w:r>
      <w:r>
        <w:rPr>
          <w:color w:val="6E6158"/>
          <w:spacing w:val="40"/>
        </w:rPr>
        <w:t> </w:t>
      </w:r>
      <w:r>
        <w:rPr>
          <w:color w:val="6E6158"/>
        </w:rPr>
        <w:t>claims and issues.</w:t>
      </w:r>
    </w:p>
    <w:p>
      <w:pPr>
        <w:pStyle w:val="BodyText"/>
        <w:spacing w:line="292" w:lineRule="auto" w:before="133"/>
        <w:ind w:right="1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598614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7.135033pt;width:1.65pt;height:1.65pt;mso-position-horizontal-relative:page;mso-position-vertical-relative:paragraph;z-index:15733248" id="docshape21" coordorigin="1670,943" coordsize="33,33" path="m1691,975l1682,975,1678,974,1671,967,1670,963,1670,954,1671,951,1678,944,1682,943,1691,943,1694,944,1701,951,1702,954,1702,959,1702,963,1701,967,1694,974,1691,97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State of Arizona, Arizona Department of Transportation, in a 135-plaintiff mass</w:t>
      </w:r>
      <w:r>
        <w:rPr>
          <w:color w:val="6E6158"/>
          <w:spacing w:val="40"/>
        </w:rPr>
        <w:t> </w:t>
      </w:r>
      <w:r>
        <w:rPr>
          <w:color w:val="6E6158"/>
        </w:rPr>
        <w:t>action seeking 8 figures in damages resulting from flooding that occurred in Mesa, Arizona,</w:t>
      </w:r>
      <w:r>
        <w:rPr>
          <w:color w:val="6E6158"/>
          <w:spacing w:val="40"/>
        </w:rPr>
        <w:t> </w:t>
      </w:r>
      <w:r>
        <w:rPr>
          <w:color w:val="6E6158"/>
        </w:rPr>
        <w:t>along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U.S.</w:t>
      </w:r>
      <w:r>
        <w:rPr>
          <w:color w:val="6E6158"/>
          <w:spacing w:val="26"/>
        </w:rPr>
        <w:t> </w:t>
      </w:r>
      <w:r>
        <w:rPr>
          <w:color w:val="6E6158"/>
        </w:rPr>
        <w:t>60</w:t>
      </w:r>
      <w:r>
        <w:rPr>
          <w:color w:val="6E6158"/>
          <w:spacing w:val="26"/>
        </w:rPr>
        <w:t> </w:t>
      </w:r>
      <w:r>
        <w:rPr>
          <w:color w:val="6E6158"/>
        </w:rPr>
        <w:t>freeway.</w:t>
      </w:r>
      <w:r>
        <w:rPr>
          <w:color w:val="6E6158"/>
          <w:spacing w:val="26"/>
        </w:rPr>
        <w:t> </w:t>
      </w:r>
      <w:r>
        <w:rPr>
          <w:color w:val="6E6158"/>
        </w:rPr>
        <w:t>Following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hard</w:t>
      </w:r>
      <w:r>
        <w:rPr>
          <w:color w:val="6E6158"/>
          <w:spacing w:val="26"/>
        </w:rPr>
        <w:t> </w:t>
      </w:r>
      <w:r>
        <w:rPr>
          <w:color w:val="6E6158"/>
        </w:rPr>
        <w:t>fought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complex</w:t>
      </w:r>
      <w:r>
        <w:rPr>
          <w:color w:val="6E6158"/>
          <w:spacing w:val="26"/>
        </w:rPr>
        <w:t> </w:t>
      </w:r>
      <w:r>
        <w:rPr>
          <w:color w:val="6E6158"/>
        </w:rPr>
        <w:t>3-week</w:t>
      </w:r>
      <w:r>
        <w:rPr>
          <w:color w:val="6E6158"/>
          <w:spacing w:val="26"/>
        </w:rPr>
        <w:t> </w:t>
      </w:r>
      <w:r>
        <w:rPr>
          <w:color w:val="6E6158"/>
        </w:rPr>
        <w:t>jury</w:t>
      </w:r>
      <w:r>
        <w:rPr>
          <w:color w:val="6E6158"/>
          <w:spacing w:val="26"/>
        </w:rPr>
        <w:t> </w:t>
      </w:r>
      <w:r>
        <w:rPr>
          <w:color w:val="6E6158"/>
        </w:rPr>
        <w:t>trial,</w:t>
      </w:r>
      <w:r>
        <w:rPr>
          <w:color w:val="6E6158"/>
          <w:spacing w:val="26"/>
        </w:rPr>
        <w:t> </w:t>
      </w:r>
      <w:r>
        <w:rPr>
          <w:color w:val="6E6158"/>
        </w:rPr>
        <w:t>we</w:t>
      </w:r>
      <w:r>
        <w:rPr>
          <w:color w:val="6E6158"/>
        </w:rPr>
        <w:t> obtained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unanimous</w:t>
      </w:r>
      <w:r>
        <w:rPr>
          <w:color w:val="6E6158"/>
          <w:spacing w:val="27"/>
        </w:rPr>
        <w:t> </w:t>
      </w:r>
      <w:r>
        <w:rPr>
          <w:color w:val="6E6158"/>
        </w:rPr>
        <w:t>jury</w:t>
      </w:r>
      <w:r>
        <w:rPr>
          <w:color w:val="6E6158"/>
          <w:spacing w:val="27"/>
        </w:rPr>
        <w:t> </w:t>
      </w:r>
      <w:r>
        <w:rPr>
          <w:color w:val="6E6158"/>
        </w:rPr>
        <w:t>verdict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plaintiffs’</w:t>
      </w:r>
      <w:r>
        <w:rPr>
          <w:color w:val="6E6158"/>
          <w:spacing w:val="27"/>
        </w:rPr>
        <w:t> </w:t>
      </w:r>
      <w:r>
        <w:rPr>
          <w:color w:val="6E6158"/>
        </w:rPr>
        <w:t>claims.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jury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unanimously</w:t>
      </w:r>
      <w:r>
        <w:rPr>
          <w:color w:val="6E6158"/>
          <w:spacing w:val="27"/>
        </w:rPr>
        <w:t> </w:t>
      </w:r>
      <w:r>
        <w:rPr>
          <w:color w:val="6E6158"/>
        </w:rPr>
        <w:t>found</w:t>
      </w:r>
    </w:p>
    <w:p>
      <w:pPr>
        <w:pStyle w:val="BodyText"/>
        <w:spacing w:line="292" w:lineRule="auto" w:before="10"/>
        <w:ind w:right="315"/>
      </w:pPr>
      <w:r>
        <w:rPr>
          <w:color w:val="6E6158"/>
        </w:rPr>
        <w:t>that we established the “State of the Art” affirmative defense, which would have barred any</w:t>
      </w:r>
      <w:r>
        <w:rPr>
          <w:color w:val="6E6158"/>
          <w:spacing w:val="40"/>
        </w:rPr>
        <w:t> </w:t>
      </w:r>
      <w:r>
        <w:rPr>
          <w:color w:val="6E6158"/>
        </w:rPr>
        <w:t>liability that otherwise might have been established.</w:t>
      </w:r>
    </w:p>
    <w:p>
      <w:pPr>
        <w:pStyle w:val="BodyText"/>
        <w:spacing w:line="302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236261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3262pt;width:1.65pt;height:1.65pt;mso-position-horizontal-relative:page;mso-position-vertical-relative:paragraph;z-index:15733760" id="docshape2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one of the largest and fastest growing national online vehicle sales and </w:t>
      </w:r>
      <w:r>
        <w:rPr>
          <w:color w:val="6E6158"/>
        </w:rPr>
        <w:t>logistics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numerous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consumer-related</w:t>
      </w:r>
      <w:r>
        <w:rPr>
          <w:color w:val="6E6158"/>
          <w:spacing w:val="40"/>
        </w:rPr>
        <w:t> </w:t>
      </w:r>
      <w:r>
        <w:rPr>
          <w:color w:val="6E6158"/>
        </w:rPr>
        <w:t>disputes.</w:t>
      </w:r>
    </w:p>
    <w:p>
      <w:pPr>
        <w:pStyle w:val="BodyText"/>
        <w:spacing w:line="292" w:lineRule="auto" w:before="11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223969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5357pt;width:1.65pt;height:1.65pt;mso-position-horizontal-relative:page;mso-position-vertical-relative:paragraph;z-index:15734272" id="docshape23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one of the nation’s largest health insurers in various disputes, including commercial</w:t>
      </w:r>
      <w:r>
        <w:rPr>
          <w:color w:val="6E6158"/>
          <w:spacing w:val="40"/>
        </w:rPr>
        <w:t> </w:t>
      </w:r>
      <w:r>
        <w:rPr>
          <w:color w:val="6E6158"/>
        </w:rPr>
        <w:t>disputes, coverage actions, bad faith, ERISA claims, and regulatory matters.</w:t>
      </w:r>
    </w:p>
    <w:p>
      <w:pPr>
        <w:pStyle w:val="BodyText"/>
        <w:spacing w:line="302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236298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211pt;width:1.65pt;height:1.65pt;mso-position-horizontal-relative:page;mso-position-vertical-relative:paragraph;z-index:15734784" id="docshape2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early dismissal of large California pension plan in federal court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claim for benefits.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5808" id="docshape2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Prosecuted claims against contractor and negotiated favorable settlement in favor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country’s second largest waste management company in slope failures case.</w:t>
      </w:r>
    </w:p>
    <w:p>
      <w:pPr>
        <w:pStyle w:val="BodyText"/>
        <w:spacing w:line="292" w:lineRule="auto" w:before="132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36320" id="docshape2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early dismissal through application of qualified immunity of public employee in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high-profile</w:t>
      </w:r>
      <w:r>
        <w:rPr>
          <w:color w:val="6E6158"/>
          <w:spacing w:val="31"/>
        </w:rPr>
        <w:t> </w:t>
      </w:r>
      <w:r>
        <w:rPr>
          <w:color w:val="6E6158"/>
        </w:rPr>
        <w:t>tort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personal</w:t>
      </w:r>
      <w:r>
        <w:rPr>
          <w:color w:val="6E6158"/>
          <w:spacing w:val="31"/>
        </w:rPr>
        <w:t> </w:t>
      </w:r>
      <w:r>
        <w:rPr>
          <w:color w:val="6E6158"/>
        </w:rPr>
        <w:t>injury</w:t>
      </w:r>
      <w:r>
        <w:rPr>
          <w:color w:val="6E6158"/>
          <w:spacing w:val="31"/>
        </w:rPr>
        <w:t> </w:t>
      </w:r>
      <w:r>
        <w:rPr>
          <w:color w:val="6E6158"/>
        </w:rPr>
        <w:t>case</w:t>
      </w:r>
      <w:r>
        <w:rPr>
          <w:color w:val="6E6158"/>
          <w:spacing w:val="31"/>
        </w:rPr>
        <w:t> </w:t>
      </w:r>
      <w:r>
        <w:rPr>
          <w:color w:val="6E6158"/>
        </w:rPr>
        <w:t>alleging</w:t>
      </w:r>
      <w:r>
        <w:rPr>
          <w:color w:val="6E6158"/>
          <w:spacing w:val="31"/>
        </w:rPr>
        <w:t> </w:t>
      </w:r>
      <w:r>
        <w:rPr>
          <w:color w:val="6E6158"/>
        </w:rPr>
        <w:t>negligence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breach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duty</w:t>
      </w:r>
      <w:r>
        <w:rPr>
          <w:color w:val="6E6158"/>
          <w:spacing w:val="31"/>
        </w:rPr>
        <w:t> </w:t>
      </w:r>
      <w:r>
        <w:rPr>
          <w:color w:val="6E6158"/>
        </w:rPr>
        <w:t>claims.</w:t>
      </w:r>
    </w:p>
    <w:p>
      <w:pPr>
        <w:pStyle w:val="BodyText"/>
        <w:spacing w:line="292" w:lineRule="auto" w:before="123"/>
        <w:ind w:righ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36832" id="docshape2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military weapons systems manufacturer in trade secret misappropriation </w:t>
      </w:r>
      <w:r>
        <w:rPr>
          <w:color w:val="6E6158"/>
        </w:rPr>
        <w:t>and patent claims case.</w:t>
      </w:r>
    </w:p>
    <w:p>
      <w:pPr>
        <w:pStyle w:val="BodyText"/>
        <w:spacing w:line="292" w:lineRule="auto" w:before="131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323842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9372pt;width:1.65pt;height:1.65pt;mso-position-horizontal-relative:page;mso-position-vertical-relative:paragraph;z-index:15737344" id="docshape28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national franchisor of massage and spa clinics with franchises in 49 states,</w:t>
      </w:r>
      <w:r>
        <w:rPr>
          <w:color w:val="6E6158"/>
          <w:spacing w:val="40"/>
        </w:rPr>
        <w:t> </w:t>
      </w:r>
      <w:r>
        <w:rPr>
          <w:color w:val="6E6158"/>
        </w:rPr>
        <w:t>including serving as co-lead member of the franchisor’s national defense counsel team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various kinds of tort claims.</w:t>
      </w:r>
    </w:p>
    <w:p>
      <w:pPr>
        <w:pStyle w:val="BodyText"/>
        <w:spacing w:line="297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324494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50718pt;width:1.65pt;height:1.65pt;mso-position-horizontal-relative:page;mso-position-vertical-relative:paragraph;z-index:15737856" id="docshape29" coordorigin="1670,511" coordsize="33,33" path="m1691,544l1682,544,1678,542,1671,536,1670,532,1670,523,1671,519,1678,513,1682,511,1691,511,1694,513,1701,519,1702,523,1702,527,1702,532,1701,536,1694,542,1691,5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and negotiated a favorable settlement of non-compete, trade secret misappropriation and unfair competition claims brought against a high-level sales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after his departure from a prior employer.</w:t>
      </w:r>
    </w:p>
    <w:p>
      <w:pPr>
        <w:pStyle w:val="BodyText"/>
        <w:spacing w:line="297" w:lineRule="auto" w:before="118"/>
        <w:ind w:righ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320715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3187pt;width:1.65pt;height:1.65pt;mso-position-horizontal-relative:page;mso-position-vertical-relative:paragraph;z-index:15738368" id="docshape30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credit card processing company in numerous putative class action cases that</w:t>
      </w:r>
      <w:r>
        <w:rPr>
          <w:color w:val="6E6158"/>
          <w:spacing w:val="40"/>
        </w:rPr>
        <w:t> </w:t>
      </w:r>
      <w:r>
        <w:rPr>
          <w:color w:val="6E6158"/>
        </w:rPr>
        <w:t>were consolidated and transferred to a multi-district litigation involving claims arising out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one of the largest alleged pyramid and Ponzi schemes in U.S. history.</w:t>
      </w:r>
    </w:p>
    <w:p>
      <w:pPr>
        <w:pStyle w:val="BodyText"/>
        <w:spacing w:line="292" w:lineRule="auto" w:before="118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227733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1789pt;width:1.65pt;height:1.65pt;mso-position-horizontal-relative:page;mso-position-vertical-relative:paragraph;z-index:15738880" id="docshape31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Achieved dismissal of payment gateway provider in same multi-district litigation </w:t>
      </w:r>
      <w:r>
        <w:rPr>
          <w:color w:val="6E6158"/>
        </w:rPr>
        <w:t>involving claims</w:t>
      </w:r>
      <w:r>
        <w:rPr>
          <w:color w:val="6E6158"/>
          <w:spacing w:val="9"/>
        </w:rPr>
        <w:t> </w:t>
      </w:r>
      <w:r>
        <w:rPr>
          <w:color w:val="6E6158"/>
        </w:rPr>
        <w:t>arising</w:t>
      </w:r>
      <w:r>
        <w:rPr>
          <w:color w:val="6E6158"/>
          <w:spacing w:val="10"/>
        </w:rPr>
        <w:t> </w:t>
      </w:r>
      <w:r>
        <w:rPr>
          <w:color w:val="6E6158"/>
        </w:rPr>
        <w:t>out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one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largest</w:t>
      </w:r>
      <w:r>
        <w:rPr>
          <w:color w:val="6E6158"/>
          <w:spacing w:val="10"/>
        </w:rPr>
        <w:t> </w:t>
      </w:r>
      <w:r>
        <w:rPr>
          <w:color w:val="6E6158"/>
        </w:rPr>
        <w:t>alleged</w:t>
      </w:r>
      <w:r>
        <w:rPr>
          <w:color w:val="6E6158"/>
          <w:spacing w:val="10"/>
        </w:rPr>
        <w:t> </w:t>
      </w:r>
      <w:r>
        <w:rPr>
          <w:color w:val="6E6158"/>
        </w:rPr>
        <w:t>pyramid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Ponzi</w:t>
      </w:r>
      <w:r>
        <w:rPr>
          <w:color w:val="6E6158"/>
          <w:spacing w:val="10"/>
        </w:rPr>
        <w:t> </w:t>
      </w:r>
      <w:r>
        <w:rPr>
          <w:color w:val="6E6158"/>
        </w:rPr>
        <w:t>schemes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history.</w:t>
      </w:r>
    </w:p>
    <w:p>
      <w:pPr>
        <w:pStyle w:val="BodyText"/>
        <w:spacing w:line="292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324097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9484pt;width:1.65pt;height:1.65pt;mso-position-horizontal-relative:page;mso-position-vertical-relative:paragraph;z-index:15739392" id="docshape32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third-party payment processor as outside general counsel in numerous</w:t>
      </w:r>
      <w:r>
        <w:rPr>
          <w:color w:val="6E6158"/>
          <w:spacing w:val="40"/>
        </w:rPr>
        <w:t> </w:t>
      </w:r>
      <w:r>
        <w:rPr>
          <w:color w:val="6E6158"/>
        </w:rPr>
        <w:t>aspects of its business, including contract drafting and review, regulatory and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issues, employment matters, and litigation.</w:t>
      </w:r>
    </w:p>
    <w:p>
      <w:pPr>
        <w:pStyle w:val="BodyText"/>
        <w:spacing w:line="297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324113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0784pt;width:1.65pt;height:1.65pt;mso-position-horizontal-relative:page;mso-position-vertical-relative:paragraph;z-index:15739904" id="docshape33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Represents</w:t>
      </w:r>
      <w:r>
        <w:rPr>
          <w:color w:val="6E6158"/>
          <w:spacing w:val="37"/>
        </w:rPr>
        <w:t> </w:t>
      </w:r>
      <w:r>
        <w:rPr>
          <w:color w:val="6E6158"/>
        </w:rPr>
        <w:t>clients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defending</w:t>
      </w:r>
      <w:r>
        <w:rPr>
          <w:color w:val="6E6158"/>
          <w:spacing w:val="37"/>
        </w:rPr>
        <w:t> </w:t>
      </w:r>
      <w:r>
        <w:rPr>
          <w:color w:val="6E6158"/>
        </w:rPr>
        <w:t>against</w:t>
      </w:r>
      <w:r>
        <w:rPr>
          <w:color w:val="6E6158"/>
          <w:spacing w:val="37"/>
        </w:rPr>
        <w:t> </w:t>
      </w:r>
      <w:r>
        <w:rPr>
          <w:color w:val="6E6158"/>
        </w:rPr>
        <w:t>vicarious</w:t>
      </w:r>
      <w:r>
        <w:rPr>
          <w:color w:val="6E6158"/>
          <w:spacing w:val="37"/>
        </w:rPr>
        <w:t> </w:t>
      </w:r>
      <w:r>
        <w:rPr>
          <w:color w:val="6E6158"/>
        </w:rPr>
        <w:t>liability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respondeat</w:t>
      </w:r>
      <w:r>
        <w:rPr>
          <w:color w:val="6E6158"/>
          <w:spacing w:val="37"/>
        </w:rPr>
        <w:t> </w:t>
      </w:r>
      <w:r>
        <w:rPr>
          <w:color w:val="6E6158"/>
        </w:rPr>
        <w:t>superior</w:t>
      </w:r>
      <w:r>
        <w:rPr>
          <w:color w:val="6E6158"/>
          <w:spacing w:val="37"/>
        </w:rPr>
        <w:t> </w:t>
      </w:r>
      <w:r>
        <w:rPr>
          <w:color w:val="6E6158"/>
        </w:rPr>
        <w:t>claims arising out of negligent and intentional conduct by employees, contractors, franchisees,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like individuals or entities.</w:t>
      </w:r>
    </w:p>
    <w:p>
      <w:pPr>
        <w:pStyle w:val="BodyText"/>
        <w:spacing w:line="297" w:lineRule="auto" w:before="118"/>
        <w:ind w:righ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320335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23246pt;width:1.65pt;height:1.65pt;mso-position-horizontal-relative:page;mso-position-vertical-relative:paragraph;z-index:15740416" id="docshape34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large supplier of automated voice response systems in indemnification action</w:t>
      </w:r>
      <w:r>
        <w:rPr>
          <w:color w:val="6E6158"/>
          <w:spacing w:val="40"/>
        </w:rPr>
        <w:t> </w:t>
      </w:r>
      <w:r>
        <w:rPr>
          <w:color w:val="6E6158"/>
        </w:rPr>
        <w:t>arising out of patent infringement claims alleged against a call processing center to </w:t>
      </w:r>
      <w:r>
        <w:rPr>
          <w:color w:val="6E6158"/>
        </w:rPr>
        <w:t>whom</w:t>
      </w:r>
      <w:r>
        <w:rPr>
          <w:color w:val="6E6158"/>
          <w:spacing w:val="40"/>
        </w:rPr>
        <w:t> </w:t>
      </w:r>
      <w:r>
        <w:rPr>
          <w:color w:val="6E6158"/>
        </w:rPr>
        <w:t>the client provided its product.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501220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466198pt;width:1.65pt;height:1.65pt;mso-position-horizontal-relative:page;mso-position-vertical-relative:paragraph;z-index:15740928" id="docshape35" coordorigin="1670,789" coordsize="33,33" path="m1691,822l1682,822,1678,820,1671,814,1670,810,1670,801,1671,797,1678,791,1682,789,1691,789,1694,791,1701,797,1702,801,1702,806,1702,810,1701,814,1694,820,1691,8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local fine dining restaurant group and was part of the team who negotiated a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 for client in actions involving claims of breach of a multi-million dollar</w:t>
      </w:r>
      <w:r>
        <w:rPr>
          <w:color w:val="6E6158"/>
          <w:spacing w:val="40"/>
        </w:rPr>
        <w:t> </w:t>
      </w:r>
      <w:r>
        <w:rPr>
          <w:color w:val="6E6158"/>
        </w:rPr>
        <w:t>promissory</w:t>
      </w:r>
      <w:r>
        <w:rPr>
          <w:color w:val="6E6158"/>
          <w:spacing w:val="34"/>
        </w:rPr>
        <w:t> </w:t>
      </w:r>
      <w:r>
        <w:rPr>
          <w:color w:val="6E6158"/>
        </w:rPr>
        <w:t>note</w:t>
      </w:r>
      <w:r>
        <w:rPr>
          <w:color w:val="6E6158"/>
          <w:spacing w:val="34"/>
        </w:rPr>
        <w:t> </w:t>
      </w:r>
      <w:r>
        <w:rPr>
          <w:color w:val="6E6158"/>
        </w:rPr>
        <w:t>against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financiers</w:t>
      </w:r>
      <w:r>
        <w:rPr>
          <w:color w:val="6E6158"/>
          <w:spacing w:val="34"/>
        </w:rPr>
        <w:t> </w:t>
      </w:r>
      <w:r>
        <w:rPr>
          <w:color w:val="6E6158"/>
        </w:rPr>
        <w:t>who</w:t>
      </w:r>
      <w:r>
        <w:rPr>
          <w:color w:val="6E6158"/>
          <w:spacing w:val="34"/>
        </w:rPr>
        <w:t> </w:t>
      </w:r>
      <w:r>
        <w:rPr>
          <w:color w:val="6E6158"/>
        </w:rPr>
        <w:t>purchased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restaurant</w:t>
      </w:r>
      <w:r>
        <w:rPr>
          <w:color w:val="6E6158"/>
          <w:spacing w:val="34"/>
        </w:rPr>
        <w:t> </w:t>
      </w:r>
      <w:r>
        <w:rPr>
          <w:color w:val="6E6158"/>
        </w:rPr>
        <w:t>group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defending</w:t>
      </w:r>
    </w:p>
    <w:p>
      <w:pPr>
        <w:pStyle w:val="BodyText"/>
        <w:spacing w:line="292" w:lineRule="auto" w:before="10"/>
        <w:ind w:right="315"/>
      </w:pPr>
      <w:r>
        <w:rPr>
          <w:color w:val="6E6158"/>
        </w:rPr>
        <w:t>against trademark and trade dress infringement claims asserted by the purchaser against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restaurant group.</w:t>
      </w:r>
    </w:p>
    <w:p>
      <w:pPr>
        <w:pStyle w:val="BodyText"/>
        <w:spacing w:line="295" w:lineRule="auto" w:before="123"/>
        <w:ind w:righ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690573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375832pt;width:1.65pt;height:1.65pt;mso-position-horizontal-relative:page;mso-position-vertical-relative:paragraph;z-index:15741440" id="docshape36" coordorigin="1670,1088" coordsize="33,33" path="m1691,1120l1682,1120,1678,1118,1671,1112,1670,1108,1670,1099,1671,1095,1678,1089,1682,1088,1691,1088,1694,1089,1701,1095,1702,1099,1702,1104,1702,1108,1701,1112,1694,1118,1691,11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large solid waste company in arbitration regarding a success fee and royalty</w:t>
      </w:r>
      <w:r>
        <w:rPr>
          <w:color w:val="6E6158"/>
          <w:spacing w:val="40"/>
        </w:rPr>
        <w:t> </w:t>
      </w:r>
      <w:r>
        <w:rPr>
          <w:color w:val="6E6158"/>
        </w:rPr>
        <w:t>contract where the claimant contended it had earned a large success fee and multi-million</w:t>
      </w:r>
      <w:r>
        <w:rPr>
          <w:color w:val="6E6158"/>
          <w:spacing w:val="40"/>
        </w:rPr>
        <w:t> </w:t>
      </w:r>
      <w:r>
        <w:rPr>
          <w:color w:val="6E6158"/>
        </w:rPr>
        <w:t>dollar royalty in connection with a landfill expansion. After a full evidentiary hearing, the</w:t>
      </w:r>
      <w:r>
        <w:rPr>
          <w:color w:val="6E6158"/>
          <w:spacing w:val="40"/>
        </w:rPr>
        <w:t> </w:t>
      </w:r>
      <w:r>
        <w:rPr>
          <w:color w:val="6E6158"/>
        </w:rPr>
        <w:t>arbitrator ruled that the claimant had not established entitlement to either the success fee or</w:t>
      </w:r>
      <w:r>
        <w:rPr>
          <w:color w:val="6E6158"/>
          <w:spacing w:val="40"/>
        </w:rPr>
        <w:t> </w:t>
      </w:r>
      <w:r>
        <w:rPr>
          <w:color w:val="6E6158"/>
        </w:rPr>
        <w:t>royalty and issued an award in favor of the waste company. The claimant moved the Arizona</w:t>
      </w:r>
      <w:r>
        <w:rPr>
          <w:color w:val="6E6158"/>
          <w:spacing w:val="40"/>
        </w:rPr>
        <w:t> </w:t>
      </w:r>
      <w:r>
        <w:rPr>
          <w:color w:val="6E6158"/>
        </w:rPr>
        <w:t>Superior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vacate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award.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court</w:t>
      </w:r>
      <w:r>
        <w:rPr>
          <w:color w:val="6E6158"/>
          <w:spacing w:val="26"/>
        </w:rPr>
        <w:t> </w:t>
      </w:r>
      <w:r>
        <w:rPr>
          <w:color w:val="6E6158"/>
        </w:rPr>
        <w:t>denied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motion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amend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confirmed the arbitration award.</w:t>
      </w:r>
    </w:p>
    <w:p>
      <w:pPr>
        <w:pStyle w:val="BodyText"/>
        <w:spacing w:line="292" w:lineRule="auto" w:before="126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232771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28449pt;width:1.65pt;height:1.65pt;mso-position-horizontal-relative:page;mso-position-vertical-relative:paragraph;z-index:15741952" id="docshape37" coordorigin="1670,367" coordsize="33,33" path="m1691,399l1682,399,1678,398,1671,391,1670,387,1670,378,1671,375,1678,368,1682,367,1691,367,1694,368,1701,375,1702,378,1702,383,1702,387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claims by a putative class of consumers alleging unlawful pharmaceutical </w:t>
      </w:r>
      <w:r>
        <w:rPr>
          <w:color w:val="6E6158"/>
        </w:rPr>
        <w:t>pricing</w:t>
      </w:r>
      <w:r>
        <w:rPr>
          <w:color w:val="6E6158"/>
          <w:spacing w:val="80"/>
        </w:rPr>
        <w:t> </w:t>
      </w:r>
      <w:r>
        <w:rPr>
          <w:color w:val="6E6158"/>
        </w:rPr>
        <w:t>in multi- district litigation matter.</w:t>
      </w:r>
    </w:p>
    <w:p>
      <w:pPr>
        <w:pStyle w:val="BodyText"/>
        <w:spacing w:line="292" w:lineRule="auto" w:before="132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236211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302pt;width:1.65pt;height:1.65pt;mso-position-horizontal-relative:page;mso-position-vertical-relative:paragraph;z-index:15742464" id="docshape3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Japanese EPC subcontractor in arbitration of consolidated claims arising </w:t>
      </w:r>
      <w:r>
        <w:rPr>
          <w:color w:val="6E6158"/>
        </w:rPr>
        <w:t>out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construction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790-Megawatt</w:t>
      </w:r>
      <w:r>
        <w:rPr>
          <w:color w:val="6E6158"/>
          <w:spacing w:val="31"/>
        </w:rPr>
        <w:t> </w:t>
      </w:r>
      <w:r>
        <w:rPr>
          <w:color w:val="6E6158"/>
        </w:rPr>
        <w:t>Power</w:t>
      </w:r>
      <w:r>
        <w:rPr>
          <w:color w:val="6E6158"/>
          <w:spacing w:val="31"/>
        </w:rPr>
        <w:t> </w:t>
      </w:r>
      <w:r>
        <w:rPr>
          <w:color w:val="6E6158"/>
        </w:rPr>
        <w:t>Plant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Midwestern</w:t>
      </w:r>
      <w:r>
        <w:rPr>
          <w:color w:val="6E6158"/>
          <w:spacing w:val="31"/>
        </w:rPr>
        <w:t> </w:t>
      </w:r>
      <w:r>
        <w:rPr>
          <w:color w:val="6E6158"/>
        </w:rPr>
        <w:t>United</w:t>
      </w:r>
      <w:r>
        <w:rPr>
          <w:color w:val="6E6158"/>
          <w:spacing w:val="31"/>
        </w:rPr>
        <w:t> </w:t>
      </w:r>
      <w:r>
        <w:rPr>
          <w:color w:val="6E6158"/>
        </w:rPr>
        <w:t>States.</w:t>
      </w:r>
    </w:p>
    <w:p>
      <w:pPr>
        <w:pStyle w:val="BodyText"/>
        <w:spacing w:line="292" w:lineRule="auto" w:before="123"/>
        <w:ind w:right="129"/>
      </w:pPr>
      <w:r>
        <w:rPr>
          <w:color w:val="6E6158"/>
        </w:rPr>
        <w:t>Defended</w:t>
      </w:r>
      <w:r>
        <w:rPr>
          <w:color w:val="6E6158"/>
          <w:spacing w:val="37"/>
        </w:rPr>
        <w:t> </w:t>
      </w:r>
      <w:r>
        <w:rPr>
          <w:color w:val="6E6158"/>
        </w:rPr>
        <w:t>more</w:t>
      </w:r>
      <w:r>
        <w:rPr>
          <w:color w:val="6E6158"/>
          <w:spacing w:val="37"/>
        </w:rPr>
        <w:t> </w:t>
      </w:r>
      <w:r>
        <w:rPr>
          <w:color w:val="6E6158"/>
        </w:rPr>
        <w:t>than</w:t>
      </w:r>
      <w:r>
        <w:rPr>
          <w:color w:val="6E6158"/>
          <w:spacing w:val="37"/>
        </w:rPr>
        <w:t> </w:t>
      </w:r>
      <w:r>
        <w:rPr>
          <w:color w:val="6E6158"/>
        </w:rPr>
        <w:t>30</w:t>
      </w:r>
      <w:r>
        <w:rPr>
          <w:color w:val="6E6158"/>
          <w:spacing w:val="37"/>
        </w:rPr>
        <w:t> </w:t>
      </w:r>
      <w:r>
        <w:rPr>
          <w:color w:val="6E6158"/>
        </w:rPr>
        <w:t>individual</w:t>
      </w:r>
      <w:r>
        <w:rPr>
          <w:color w:val="6E6158"/>
          <w:spacing w:val="37"/>
        </w:rPr>
        <w:t> </w:t>
      </w:r>
      <w:r>
        <w:rPr>
          <w:color w:val="6E6158"/>
        </w:rPr>
        <w:t>personal</w:t>
      </w:r>
      <w:r>
        <w:rPr>
          <w:color w:val="6E6158"/>
          <w:spacing w:val="37"/>
        </w:rPr>
        <w:t> </w:t>
      </w:r>
      <w:r>
        <w:rPr>
          <w:color w:val="6E6158"/>
        </w:rPr>
        <w:t>injury</w:t>
      </w:r>
      <w:r>
        <w:rPr>
          <w:color w:val="6E6158"/>
          <w:spacing w:val="37"/>
        </w:rPr>
        <w:t> </w:t>
      </w:r>
      <w:r>
        <w:rPr>
          <w:color w:val="6E6158"/>
        </w:rPr>
        <w:t>claims</w:t>
      </w:r>
      <w:r>
        <w:rPr>
          <w:color w:val="6E6158"/>
          <w:spacing w:val="37"/>
        </w:rPr>
        <w:t> </w:t>
      </w:r>
      <w:r>
        <w:rPr>
          <w:color w:val="6E6158"/>
        </w:rPr>
        <w:t>alleging</w:t>
      </w:r>
      <w:r>
        <w:rPr>
          <w:color w:val="6E6158"/>
          <w:spacing w:val="37"/>
        </w:rPr>
        <w:t> </w:t>
      </w:r>
      <w:r>
        <w:rPr>
          <w:color w:val="6E6158"/>
        </w:rPr>
        <w:t>purported</w:t>
      </w:r>
      <w:r>
        <w:rPr>
          <w:color w:val="6E6158"/>
          <w:spacing w:val="37"/>
        </w:rPr>
        <w:t> </w:t>
      </w:r>
      <w:r>
        <w:rPr>
          <w:color w:val="6E6158"/>
        </w:rPr>
        <w:t>benzene exposure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Midwestern</w:t>
      </w:r>
      <w:r>
        <w:rPr>
          <w:color w:val="6E6158"/>
          <w:spacing w:val="15"/>
        </w:rPr>
        <w:t> </w:t>
      </w:r>
      <w:r>
        <w:rPr>
          <w:color w:val="6E6158"/>
        </w:rPr>
        <w:t>community</w:t>
      </w:r>
      <w:r>
        <w:rPr>
          <w:color w:val="6E6158"/>
          <w:spacing w:val="15"/>
        </w:rPr>
        <w:t> </w:t>
      </w:r>
      <w:r>
        <w:rPr>
          <w:color w:val="6E6158"/>
        </w:rPr>
        <w:t>against</w:t>
      </w:r>
      <w:r>
        <w:rPr>
          <w:color w:val="6E6158"/>
          <w:spacing w:val="15"/>
        </w:rPr>
        <w:t> </w:t>
      </w:r>
      <w:r>
        <w:rPr>
          <w:color w:val="6E6158"/>
        </w:rPr>
        <w:t>one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world’s</w:t>
      </w:r>
      <w:r>
        <w:rPr>
          <w:color w:val="6E6158"/>
          <w:spacing w:val="15"/>
        </w:rPr>
        <w:t> </w:t>
      </w:r>
      <w:r>
        <w:rPr>
          <w:color w:val="6E6158"/>
        </w:rPr>
        <w:t>largest</w:t>
      </w:r>
      <w:r>
        <w:rPr>
          <w:color w:val="6E6158"/>
          <w:spacing w:val="15"/>
        </w:rPr>
        <w:t> </w:t>
      </w:r>
      <w:r>
        <w:rPr>
          <w:color w:val="6E6158"/>
        </w:rPr>
        <w:t>oil</w:t>
      </w:r>
      <w:r>
        <w:rPr>
          <w:color w:val="6E6158"/>
          <w:spacing w:val="15"/>
        </w:rPr>
        <w:t> </w:t>
      </w:r>
      <w:r>
        <w:rPr>
          <w:color w:val="6E6158"/>
        </w:rPr>
        <w:t>companies</w:t>
      </w:r>
      <w:r>
        <w:rPr>
          <w:color w:val="6E6158"/>
          <w:spacing w:val="15"/>
        </w:rPr>
        <w:t> </w:t>
      </w:r>
      <w:r>
        <w:rPr>
          <w:color w:val="6E6158"/>
        </w:rPr>
        <w:t>related</w:t>
      </w:r>
    </w:p>
    <w:p>
      <w:pPr>
        <w:pStyle w:val="BodyText"/>
        <w:spacing w:before="5"/>
        <w:ind w:left="0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1060346</wp:posOffset>
                </wp:positionH>
                <wp:positionV relativeFrom="paragraph">
                  <wp:posOffset>96270</wp:posOffset>
                </wp:positionV>
                <wp:extent cx="20955" cy="2095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580371pt;width:1.65pt;height:1.65pt;mso-position-horizontal-relative:page;mso-position-vertical-relative:paragraph;z-index:-15721984;mso-wrap-distance-left:0;mso-wrap-distance-right:0" id="docshape39" coordorigin="1670,152" coordsize="33,33" path="m1691,184l1682,184,1678,183,1671,176,1670,172,1670,163,1671,160,1678,153,1682,152,1691,152,1694,153,1701,160,1702,163,1702,168,1702,172,1701,176,1694,183,1691,18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5"/>
      </w:pPr>
      <w:r>
        <w:rPr>
          <w:color w:val="6E6158"/>
        </w:rPr>
        <w:t>to one of the company’s refineries and achieved a successful settlement of all </w:t>
      </w:r>
      <w:r>
        <w:rPr>
          <w:color w:val="6E6158"/>
        </w:rPr>
        <w:t>remaining </w:t>
      </w:r>
      <w:r>
        <w:rPr>
          <w:color w:val="6E6158"/>
          <w:spacing w:val="-2"/>
        </w:rPr>
        <w:t>claims.</w:t>
      </w:r>
    </w:p>
    <w:p>
      <w:pPr>
        <w:pStyle w:val="BodyText"/>
        <w:spacing w:line="292" w:lineRule="auto" w:before="132"/>
        <w:ind w:righ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324035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4589pt;width:1.65pt;height:1.65pt;mso-position-horizontal-relative:page;mso-position-vertical-relative:paragraph;z-index:15742976" id="docshape40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Participated in negotiating a favorable settlement and business licensing agreement to</w:t>
      </w:r>
      <w:r>
        <w:rPr>
          <w:color w:val="6E6158"/>
          <w:spacing w:val="40"/>
        </w:rPr>
        <w:t> </w:t>
      </w:r>
      <w:r>
        <w:rPr>
          <w:color w:val="6E6158"/>
        </w:rPr>
        <w:t>resolve trade secret and misappropriation claims against a large industrial </w:t>
      </w:r>
      <w:r>
        <w:rPr>
          <w:color w:val="6E6158"/>
        </w:rPr>
        <w:t>manufacturer </w:t>
      </w:r>
      <w:r>
        <w:rPr>
          <w:color w:val="6E6158"/>
          <w:spacing w:val="-2"/>
        </w:rPr>
        <w:t>client.</w:t>
      </w:r>
    </w:p>
    <w:p>
      <w:pPr>
        <w:pStyle w:val="Heading2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8" w:lineRule="auto" w:before="139"/>
        <w:ind w:left="351" w:right="270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168082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34854pt;width:1.65pt;height:1.65pt;mso-position-horizontal-relative:page;mso-position-vertical-relative:paragraph;z-index:15743488" id="docshape41" coordorigin="1670,265" coordsize="33,33" path="m1691,297l1682,297,1678,296,1671,289,1670,285,1670,276,1671,273,1678,266,1682,265,1691,265,1694,266,1701,273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447116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206043pt;width:1.65pt;height:1.65pt;mso-position-horizontal-relative:page;mso-position-vertical-relative:paragraph;z-index:15744000" id="docshape42" coordorigin="1670,704" coordsize="33,33" path="m1691,737l1682,737,1678,735,1671,729,1670,725,1670,716,1671,712,1678,706,1682,704,1691,704,1694,706,1701,712,1702,716,1702,720,1702,725,1701,729,1694,735,1691,7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720983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6.770374pt;width:1.65pt;height:1.65pt;mso-position-horizontal-relative:page;mso-position-vertical-relative:paragraph;z-index:15744512" id="docshape43" coordorigin="1670,1135" coordsize="33,33" path="m1691,1168l1682,1168,1678,1166,1671,1160,1670,1156,1670,1147,1671,1143,1678,1137,1682,1135,1691,1135,1694,1137,1701,1143,1702,1147,1702,1152,1702,1156,1701,1160,1694,1166,1691,11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Banking and Finance Law, 2022-2025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Litigation – Real Estate, 2024 and </w:t>
      </w:r>
      <w:r>
        <w:rPr>
          <w:color w:val="6E6158"/>
          <w:sz w:val="19"/>
        </w:rPr>
        <w:t>2025 Most Influential Women in Arizona, AZ Big Media, 2023</w:t>
      </w:r>
    </w:p>
    <w:p>
      <w:pPr>
        <w:spacing w:before="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82723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513657pt;width:1.65pt;height:1.65pt;mso-position-horizontal-relative:page;mso-position-vertical-relative:paragraph;z-index:15745024" id="docshape44" coordorigin="1670,130" coordsize="33,33" path="m1691,163l1682,163,1678,161,1671,155,1670,151,1670,142,1671,138,1678,132,1682,130,1691,130,1694,132,1701,138,1702,142,1702,147,1702,151,1701,155,1694,161,1691,1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2019-</w:t>
      </w:r>
      <w:r>
        <w:rPr>
          <w:color w:val="6E6158"/>
          <w:spacing w:val="-4"/>
          <w:sz w:val="19"/>
        </w:rPr>
        <w:t>2026</w:t>
      </w:r>
    </w:p>
    <w:p>
      <w:pPr>
        <w:spacing w:before="16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173638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2294pt;width:1.65pt;height:1.65pt;mso-position-horizontal-relative:page;mso-position-vertical-relative:paragraph;z-index:15745536" id="docshape45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Women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Achievers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Arizona</w:t>
      </w:r>
      <w:r>
        <w:rPr>
          <w:color w:val="6E6158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Capitol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Times,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pacing w:val="-4"/>
          <w:sz w:val="20"/>
        </w:rPr>
        <w:t>2021</w:t>
      </w:r>
    </w:p>
    <w:p>
      <w:pPr>
        <w:spacing w:before="1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184391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9022pt;width:1.65pt;height:1.65pt;mso-position-horizontal-relative:page;mso-position-vertical-relative:paragraph;z-index:15746048" id="docshape46" coordorigin="1670,290" coordsize="33,33" path="m1691,323l1682,323,1678,321,1671,315,1670,311,1670,302,1671,298,1678,292,1682,290,1691,290,1694,292,1701,298,1702,302,1702,307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Women,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173790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4315pt;width:1.65pt;height:1.65pt;mso-position-horizontal-relative:page;mso-position-vertical-relative:paragraph;z-index:15746560" id="docshape47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100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183909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1043pt;width:1.65pt;height:1.65pt;mso-position-horizontal-relative:page;mso-position-vertical-relative:paragraph;z-index:15747072" id="docshape48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12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184190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3209pt;width:1.65pt;height:1.65pt;mso-position-horizontal-relative:page;mso-position-vertical-relative:paragraph;z-index:15747584" id="docshape49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245473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8598pt;width:1.65pt;height:1.65pt;mso-position-horizontal-relative:page;mso-position-vertical-relative:paragraph;z-index:15748096" id="docshape50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“Clickwrap Agreements Are Binding Contracts,” Greater Phoenix </w:t>
      </w:r>
      <w:r>
        <w:rPr>
          <w:color w:val="6E6158"/>
        </w:rPr>
        <w:t>InBusiness, January 2025</w:t>
      </w:r>
    </w:p>
    <w:p>
      <w:pPr>
        <w:pStyle w:val="BodyText"/>
        <w:spacing w:line="302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236212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438pt;width:1.65pt;height:1.65pt;mso-position-horizontal-relative:page;mso-position-vertical-relative:paragraph;z-index:15748608" id="docshape5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Clickwrap agreements are binding contracts: key considerations for </w:t>
        </w:r>
        <w:r>
          <w:rPr>
            <w:color w:val="F5821F"/>
          </w:rPr>
          <w:t>consumers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and businesses</w:t>
        </w:r>
      </w:hyperlink>
      <w:r>
        <w:rPr>
          <w:color w:val="6E6158"/>
        </w:rPr>
        <w:t>,” Fennemore Blog, November 26, 2024</w:t>
      </w:r>
    </w:p>
    <w:p>
      <w:pPr>
        <w:pStyle w:val="BodyText"/>
        <w:spacing w:line="292" w:lineRule="auto" w:before="11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223921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1653pt;width:1.65pt;height:1.65pt;mso-position-horizontal-relative:page;mso-position-vertical-relative:paragraph;z-index:15749120" id="docshape5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“AI Education &amp; Workforce Seminar,” Chandler Chamber of Commerce, September 2024</w:t>
      </w:r>
    </w:p>
    <w:p>
      <w:pPr>
        <w:pStyle w:val="BodyText"/>
        <w:spacing w:line="292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236251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507pt;width:1.65pt;height:1.65pt;mso-position-horizontal-relative:page;mso-position-vertical-relative:paragraph;z-index:15749632" id="docshape5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“What CRE Can Learn from the Shockwaves Sent through RRE,” Greater Phoenix InBusiness, July 2024</w:t>
      </w:r>
    </w:p>
    <w:p>
      <w:pPr>
        <w:pStyle w:val="BodyText"/>
        <w:spacing w:line="292" w:lineRule="auto" w:before="123"/>
        <w:ind w:right="5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230712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6368pt;width:1.65pt;height:1.65pt;mso-position-horizontal-relative:page;mso-position-vertical-relative:paragraph;z-index:15750144" id="docshape54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 Wake-Up Call for More Transparency in Commercial Real Estate Transactions — and 6 Takeaways,” Phoenix Business Journal, April 2024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143046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3527pt;width:1.65pt;height:1.65pt;mso-position-horizontal-relative:page;mso-position-vertical-relative:paragraph;z-index:15750656" id="docshape5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1"/>
        </w:rPr>
        <w:t> </w:t>
      </w:r>
      <w:r>
        <w:rPr>
          <w:color w:val="6E6158"/>
        </w:rPr>
        <w:t>“Most</w:t>
      </w:r>
      <w:r>
        <w:rPr>
          <w:color w:val="6E6158"/>
          <w:spacing w:val="11"/>
        </w:rPr>
        <w:t> </w:t>
      </w:r>
      <w:r>
        <w:rPr>
          <w:color w:val="6E6158"/>
        </w:rPr>
        <w:t>Influential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Arizona,”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1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169666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59565pt;width:1.65pt;height:1.65pt;mso-position-horizontal-relative:page;mso-position-vertical-relative:paragraph;z-index:15751168" id="docshape56" coordorigin="1670,267" coordsize="33,33" path="m1691,300l1682,300,1678,298,1671,292,1670,288,1670,279,1671,275,1678,269,1682,267,1691,267,1694,269,1701,275,1702,279,1702,283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“Meet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2022</w:t>
      </w:r>
      <w:r>
        <w:rPr>
          <w:color w:val="6E6158"/>
          <w:spacing w:val="10"/>
        </w:rPr>
        <w:t> </w:t>
      </w:r>
      <w:r>
        <w:rPr>
          <w:color w:val="6E6158"/>
        </w:rPr>
        <w:t>Women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Chandler,”</w:t>
      </w:r>
      <w:r>
        <w:rPr>
          <w:color w:val="6E6158"/>
          <w:spacing w:val="10"/>
        </w:rPr>
        <w:t> </w:t>
      </w:r>
      <w:r>
        <w:rPr>
          <w:color w:val="6E6158"/>
        </w:rPr>
        <w:t>Chandler</w:t>
      </w:r>
      <w:r>
        <w:rPr>
          <w:color w:val="6E6158"/>
          <w:spacing w:val="10"/>
        </w:rPr>
        <w:t> </w:t>
      </w:r>
      <w:r>
        <w:rPr>
          <w:color w:val="6E6158"/>
        </w:rPr>
        <w:t>City</w:t>
      </w:r>
      <w:r>
        <w:rPr>
          <w:color w:val="6E6158"/>
          <w:spacing w:val="10"/>
        </w:rPr>
        <w:t> </w:t>
      </w:r>
      <w:r>
        <w:rPr>
          <w:color w:val="6E6158"/>
        </w:rPr>
        <w:t>Lifestyle,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263262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9300pt;width:1.65pt;height:1.65pt;mso-position-horizontal-relative:page;mso-position-vertical-relative:paragraph;z-index:15751680" id="docshape57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“Community Highlights: Meet Andrea Marconi of Fennemore </w:t>
      </w:r>
      <w:r>
        <w:rPr>
          <w:color w:val="6E6158"/>
        </w:rPr>
        <w:t>Craig,” VoyagePhoenix,</w:t>
      </w:r>
      <w:r>
        <w:rPr>
          <w:color w:val="6E6158"/>
          <w:spacing w:val="40"/>
        </w:rPr>
        <w:t> </w:t>
      </w:r>
      <w:r>
        <w:rPr>
          <w:color w:val="6E6158"/>
        </w:rPr>
        <w:t>March 24, 2022</w:t>
      </w:r>
    </w:p>
    <w:p>
      <w:pPr>
        <w:pStyle w:val="BodyText"/>
        <w:spacing w:line="292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236221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153pt;width:1.65pt;height:1.65pt;mso-position-horizontal-relative:page;mso-position-vertical-relative:paragraph;z-index:15752192" id="docshape5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“Beyond Boilerplate: Preparing the Right Dispute Resolution Clause for </w:t>
      </w:r>
      <w:r>
        <w:rPr>
          <w:color w:val="6E6158"/>
        </w:rPr>
        <w:t>Business Contracts” AZ Attorney Magazine, November 2021</w:t>
      </w:r>
    </w:p>
    <w:p>
      <w:pPr>
        <w:pStyle w:val="BodyText"/>
        <w:spacing w:line="292" w:lineRule="auto" w:before="12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230685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4183pt;width:1.65pt;height:1.65pt;mso-position-horizontal-relative:page;mso-position-vertical-relative:paragraph;z-index:15752704" id="docshape5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“Protecting Your Business and Brand,” KNOW Women National Summit, </w:t>
      </w:r>
      <w:r>
        <w:rPr>
          <w:color w:val="6E6158"/>
        </w:rPr>
        <w:t>October 23, 2021</w:t>
      </w:r>
    </w:p>
    <w:p>
      <w:pPr>
        <w:pStyle w:val="BodyText"/>
        <w:spacing w:line="292" w:lineRule="auto" w:before="131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236029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037pt;width:1.65pt;height:1.65pt;mso-position-horizontal-relative:page;mso-position-vertical-relative:paragraph;z-index:15753216" id="docshape6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F8100"/>
          </w:rPr>
          <w:t>Co-author, “OSHA Issues Emergency Temporary Standard for Health Care Employers,”</w:t>
        </w:r>
      </w:hyperlink>
      <w:r>
        <w:rPr>
          <w:color w:val="FF8100"/>
        </w:rPr>
        <w:t> </w:t>
      </w:r>
      <w:hyperlink r:id="rId12">
        <w:r>
          <w:rPr>
            <w:color w:val="FF8100"/>
          </w:rPr>
          <w:t>Fennemore Client Alert, July 8, 2021</w:t>
        </w:r>
      </w:hyperlink>
    </w:p>
    <w:p>
      <w:pPr>
        <w:pStyle w:val="BodyText"/>
        <w:spacing w:line="292" w:lineRule="auto" w:before="12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231128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9068pt;width:1.65pt;height:1.65pt;mso-position-horizontal-relative:page;mso-position-vertical-relative:paragraph;z-index:15753728" id="docshape61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Author, “What to Know: Updated OSHA COVID-19 Guidance for Workplaces,”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Client Alert, June 24, 2021</w:t>
        </w:r>
      </w:hyperlink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88" w:lineRule="auto" w:before="7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54240" id="docshape62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Author, “Contract Dispute Resolution Provisions Are Not One-Size-Fits-All,”</w:t>
        </w:r>
      </w:hyperlink>
      <w:r>
        <w:rPr>
          <w:color w:val="FF8100"/>
        </w:rPr>
        <w:t> </w:t>
      </w:r>
      <w:hyperlink r:id="rId14">
        <w:r>
          <w:rPr>
            <w:i/>
            <w:color w:val="FF8100"/>
            <w:sz w:val="20"/>
          </w:rPr>
          <w:t>InBusiness</w:t>
        </w:r>
      </w:hyperlink>
      <w:hyperlink r:id="rId14">
        <w:r>
          <w:rPr>
            <w:color w:val="FF8100"/>
          </w:rPr>
          <w:t>, May </w:t>
        </w:r>
        <w:r>
          <w:rPr>
            <w:color w:val="FF8100"/>
          </w:rPr>
          <w:t>1,</w:t>
        </w:r>
      </w:hyperlink>
      <w:r>
        <w:rPr>
          <w:color w:val="FF8100"/>
        </w:rPr>
        <w:t> </w:t>
      </w:r>
      <w:hyperlink r:id="rId14">
        <w:r>
          <w:rPr>
            <w:color w:val="FF8100"/>
            <w:spacing w:val="-4"/>
          </w:rPr>
          <w:t>2021</w:t>
        </w:r>
      </w:hyperlink>
    </w:p>
    <w:p>
      <w:pPr>
        <w:spacing w:line="288" w:lineRule="auto" w:before="126"/>
        <w:ind w:left="351" w:right="22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239116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28043pt;width:1.65pt;height:1.65pt;mso-position-horizontal-relative:page;mso-position-vertical-relative:paragraph;z-index:15754752" id="docshape63" coordorigin="1670,377" coordsize="33,33" path="m1691,409l1682,409,1678,408,1671,401,1670,397,1670,388,1671,385,1678,378,1682,377,1691,377,1694,378,1701,385,1702,388,1702,393,1702,397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  <w:sz w:val="19"/>
          </w:rPr>
          <w:t>Author, “COVID liability law protects a wide range of entities,”</w:t>
        </w:r>
      </w:hyperlink>
      <w:r>
        <w:rPr>
          <w:color w:val="FF8100"/>
          <w:sz w:val="19"/>
        </w:rPr>
        <w:t> </w:t>
      </w:r>
      <w:hyperlink r:id="rId15">
        <w:r>
          <w:rPr>
            <w:i/>
            <w:color w:val="FF8100"/>
            <w:sz w:val="20"/>
          </w:rPr>
          <w:t>Ahwatukee Foothills News</w:t>
        </w:r>
      </w:hyperlink>
      <w:hyperlink r:id="rId15">
        <w:r>
          <w:rPr>
            <w:color w:val="FF8100"/>
            <w:sz w:val="19"/>
          </w:rPr>
          <w:t>, April</w:t>
        </w:r>
      </w:hyperlink>
      <w:r>
        <w:rPr>
          <w:color w:val="FF8100"/>
          <w:sz w:val="19"/>
        </w:rPr>
        <w:t> </w:t>
      </w:r>
      <w:hyperlink r:id="rId15">
        <w:r>
          <w:rPr>
            <w:color w:val="FF8100"/>
            <w:sz w:val="19"/>
          </w:rPr>
          <w:t>26, 2021</w:t>
        </w:r>
      </w:hyperlink>
    </w:p>
    <w:p>
      <w:pPr>
        <w:pStyle w:val="BodyText"/>
        <w:spacing w:line="292" w:lineRule="auto" w:before="128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233963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2231pt;width:1.65pt;height:1.65pt;mso-position-horizontal-relative:page;mso-position-vertical-relative:paragraph;z-index:15755264" id="docshape64" coordorigin="1670,368" coordsize="33,33" path="m1691,401l1682,401,1678,399,1671,393,1670,389,1670,380,1671,376,1678,370,1682,368,1691,368,1694,370,1701,376,1702,380,1702,385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“Arizona Enacts COVID-19 Liability Protections for Health Professionals,”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Client Alert, April 22, 2021</w:t>
        </w:r>
      </w:hyperlink>
    </w:p>
    <w:p>
      <w:pPr>
        <w:pStyle w:val="BodyText"/>
        <w:spacing w:line="292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236133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187pt;width:1.65pt;height:1.65pt;mso-position-horizontal-relative:page;mso-position-vertical-relative:paragraph;z-index:15755776" id="docshape6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8B4512"/>
        </w:rPr>
        <w:t>Quoted, “What is covered by Gov. Ducey’s executive order on vaccine passports?” News 4</w:t>
      </w:r>
      <w:r>
        <w:rPr>
          <w:color w:val="8B4512"/>
          <w:spacing w:val="40"/>
        </w:rPr>
        <w:t> </w:t>
      </w:r>
      <w:r>
        <w:rPr>
          <w:color w:val="8B4512"/>
        </w:rPr>
        <w:t>Tucson, April 22, 2021</w:t>
      </w:r>
    </w:p>
    <w:p>
      <w:pPr>
        <w:pStyle w:val="BodyText"/>
        <w:spacing w:line="292" w:lineRule="auto" w:before="12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230596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719pt;width:1.65pt;height:1.65pt;mso-position-horizontal-relative:page;mso-position-vertical-relative:paragraph;z-index:15756288" id="docshape66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Author, “Governor Ducey Bans “Vaccine Passports” for State and Local </w:t>
        </w:r>
        <w:r>
          <w:rPr>
            <w:color w:val="FF8100"/>
          </w:rPr>
          <w:t>Governments,”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Fennemore Client Alert, April 19, 2021</w:t>
        </w:r>
      </w:hyperlink>
    </w:p>
    <w:p>
      <w:pPr>
        <w:pStyle w:val="BodyText"/>
        <w:spacing w:line="408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142930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406pt;width:1.65pt;height:1.65pt;mso-position-horizontal-relative:page;mso-position-vertical-relative:paragraph;z-index:15756800" id="docshape67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406463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05013pt;width:1.65pt;height:1.65pt;mso-position-horizontal-relative:page;mso-position-vertical-relative:paragraph;z-index:15757312" id="docshape68" coordorigin="1670,640" coordsize="33,33" path="m1691,673l1682,673,1678,671,1671,665,1670,661,1670,652,1671,648,1678,642,1682,640,1691,640,1694,642,1701,648,1702,652,1702,656,1702,661,1701,665,1694,671,1691,6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</w:rPr>
          <w:t>Author, “Arizona Enacts COVID-19 Liability Shield Law,” Fennemore Client Alert, April 14, </w:t>
        </w:r>
        <w:r>
          <w:rPr>
            <w:color w:val="FF8100"/>
          </w:rPr>
          <w:t>2021</w:t>
        </w:r>
      </w:hyperlink>
      <w:r>
        <w:rPr>
          <w:color w:val="FF8100"/>
        </w:rPr>
        <w:t> </w:t>
      </w:r>
      <w:r>
        <w:rPr>
          <w:color w:val="6E6158"/>
        </w:rPr>
        <w:t>Author, “Could Congress overturn Arizona’s right-to-work law?” </w:t>
      </w:r>
      <w:r>
        <w:rPr>
          <w:i/>
          <w:color w:val="6E6158"/>
          <w:sz w:val="20"/>
        </w:rPr>
        <w:t>AZ Big Media, </w:t>
      </w:r>
      <w:r>
        <w:rPr>
          <w:color w:val="6E6158"/>
        </w:rPr>
        <w:t>March 8, 2021</w:t>
      </w:r>
    </w:p>
    <w:p>
      <w:pPr>
        <w:pStyle w:val="BodyText"/>
        <w:spacing w:line="292" w:lineRule="auto" w:before="1"/>
        <w:ind w:right="5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153302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71029pt;width:1.65pt;height:1.65pt;mso-position-horizontal-relative:page;mso-position-vertical-relative:paragraph;z-index:15757824" id="docshape69" coordorigin="1670,241" coordsize="33,33" path="m1691,274l1682,274,1678,272,1671,266,1670,262,1670,253,1671,249,1678,243,1682,241,1691,241,1694,243,1701,249,1702,253,1702,258,1702,262,1701,266,1694,272,1691,2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“Andrea Marconi of Fennemore: ‘Focus on Yourself’,” Thrive Global, February 3, </w:t>
      </w:r>
      <w:r>
        <w:rPr>
          <w:color w:val="6E6158"/>
          <w:spacing w:val="-4"/>
        </w:rPr>
        <w:t>2021</w:t>
      </w:r>
    </w:p>
    <w:p>
      <w:pPr>
        <w:pStyle w:val="BodyText"/>
        <w:spacing w:line="283" w:lineRule="auto" w:before="13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236119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083pt;width:1.65pt;height:1.65pt;mso-position-horizontal-relative:page;mso-position-vertical-relative:paragraph;z-index:15758336" id="docshape7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“Attorney Andrea Marconi of Fennemore: 5 Things I Wish Someone Had Told Me</w:t>
      </w:r>
      <w:r>
        <w:rPr>
          <w:color w:val="6E6158"/>
          <w:spacing w:val="40"/>
        </w:rPr>
        <w:t> </w:t>
      </w:r>
      <w:r>
        <w:rPr>
          <w:color w:val="6E6158"/>
        </w:rPr>
        <w:t>When I First Became an Attorney,” </w:t>
      </w:r>
      <w:r>
        <w:rPr>
          <w:i/>
          <w:color w:val="6E6158"/>
          <w:sz w:val="20"/>
        </w:rPr>
        <w:t>Authority Magazine, </w:t>
      </w:r>
      <w:r>
        <w:rPr>
          <w:color w:val="6E6158"/>
        </w:rPr>
        <w:t>January 13, 2021</w:t>
      </w:r>
    </w:p>
    <w:p>
      <w:pPr>
        <w:pStyle w:val="BodyText"/>
        <w:spacing w:line="302" w:lineRule="auto" w:before="127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238394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71187pt;width:1.65pt;height:1.65pt;mso-position-horizontal-relative:page;mso-position-vertical-relative:paragraph;z-index:15758848" id="docshape71" coordorigin="1670,375" coordsize="33,33" path="m1691,408l1682,408,1678,406,1671,400,1670,396,1670,387,1671,383,1678,377,1682,375,1691,375,1694,377,1701,383,1702,387,1702,392,1702,396,1701,400,1694,406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“Top 5 Legal Tips to Protect Your Business and Brand,” KNOW Women Master Class, August 25, 2020</w:t>
      </w:r>
    </w:p>
    <w:p>
      <w:pPr>
        <w:pStyle w:val="BodyText"/>
        <w:spacing w:line="292" w:lineRule="auto" w:before="11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317208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7064pt;width:1.65pt;height:1.65pt;mso-position-horizontal-relative:page;mso-position-vertical-relative:paragraph;z-index:15759360" id="docshape72" coordorigin="1670,500" coordsize="33,33" path="m1691,532l1682,532,1678,531,1671,524,1670,520,1670,511,1671,507,1678,501,1682,500,1691,500,1694,501,1701,507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Author, “What Regulatory Actions Can Tell Payment Processors and ISOS About the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Anticipated Wave of COVID-19 Related Enforcement and How to Protect Your Business,”</w:t>
        </w:r>
      </w:hyperlink>
      <w:r>
        <w:rPr>
          <w:color w:val="FF8100"/>
        </w:rPr>
        <w:t> </w:t>
      </w:r>
      <w:hyperlink r:id="rId19">
        <w:r>
          <w:rPr>
            <w:color w:val="FF8100"/>
          </w:rPr>
          <w:t>Fennemore Client Alert, June 23, 2020</w:t>
        </w:r>
      </w:hyperlink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143269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043pt;width:1.65pt;height:1.65pt;mso-position-horizontal-relative:page;mso-position-vertical-relative:paragraph;z-index:15759872" id="docshape73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0">
        <w:r>
          <w:rPr>
            <w:color w:val="FF8100"/>
          </w:rPr>
          <w:t>Author,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“All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Good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Things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Must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Come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to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an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End,”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April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28,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7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262897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0569pt;width:1.65pt;height:1.65pt;mso-position-horizontal-relative:page;mso-position-vertical-relative:paragraph;z-index:15760384" id="docshape74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1">
        <w:r>
          <w:rPr>
            <w:color w:val="FF8100"/>
          </w:rPr>
          <w:t>Co-author, “COVID-19 and its Impact on the Deadline to Bring Legal Claims,”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21">
        <w:r>
          <w:rPr>
            <w:color w:val="FF8100"/>
          </w:rPr>
          <w:t>Client Alert, April 28, 2020</w:t>
        </w:r>
      </w:hyperlink>
    </w:p>
    <w:p>
      <w:pPr>
        <w:spacing w:line="297" w:lineRule="auto"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235859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615pt;width:1.65pt;height:1.65pt;mso-position-horizontal-relative:page;mso-position-vertical-relative:paragraph;z-index:15760896" id="docshape7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Interview, “Women You Must Know and Do Business With,” </w:t>
      </w:r>
      <w:r>
        <w:rPr>
          <w:i/>
          <w:color w:val="6E6158"/>
          <w:sz w:val="20"/>
        </w:rPr>
        <w:t>The KNOW Book + Tribe</w:t>
      </w:r>
      <w:r>
        <w:rPr>
          <w:color w:val="6E6158"/>
          <w:sz w:val="19"/>
        </w:rPr>
        <w:t>, January 27,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17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226814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859379pt;width:1.65pt;height:1.65pt;mso-position-horizontal-relative:page;mso-position-vertical-relative:paragraph;z-index:15761408" id="docshape76" coordorigin="1670,357" coordsize="33,33" path="m1691,390l1682,390,1678,388,1671,382,1670,378,1670,369,1671,365,1678,359,1682,357,1691,357,1694,359,1701,365,1702,369,1702,373,1702,378,1701,382,1694,388,1691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“Spec’s Family Partners, Limited v. First Data Merchant Services,” Fennemore </w:t>
      </w:r>
      <w:r>
        <w:rPr>
          <w:color w:val="6E6158"/>
        </w:rPr>
        <w:t>Client Alert, June 21, 2019</w:t>
      </w:r>
    </w:p>
    <w:p>
      <w:pPr>
        <w:pStyle w:val="BodyText"/>
        <w:spacing w:line="302" w:lineRule="auto" w:before="12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235971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4pt;width:1.65pt;height:1.65pt;mso-position-horizontal-relative:page;mso-position-vertical-relative:paragraph;z-index:15761920" id="docshape7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2">
        <w:r>
          <w:rPr>
            <w:color w:val="FF8100"/>
          </w:rPr>
          <w:t>Co-author, “Vazquez v. Jan-Pro Franchising International, Inc.,” Fennemore Client Alert, </w:t>
        </w:r>
        <w:r>
          <w:rPr>
            <w:color w:val="FF8100"/>
          </w:rPr>
          <w:t>May</w:t>
        </w:r>
      </w:hyperlink>
      <w:r>
        <w:rPr>
          <w:color w:val="FF8100"/>
        </w:rPr>
        <w:t> </w:t>
      </w:r>
      <w:hyperlink r:id="rId22">
        <w:r>
          <w:rPr>
            <w:color w:val="FF8100"/>
          </w:rPr>
          <w:t>28, 2019</w:t>
        </w:r>
      </w:hyperlink>
    </w:p>
    <w:p>
      <w:pPr>
        <w:pStyle w:val="BodyText"/>
        <w:spacing w:line="292" w:lineRule="auto" w:before="113"/>
        <w:ind w:right="4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224313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2447pt;width:1.65pt;height:1.65pt;mso-position-horizontal-relative:page;mso-position-vertical-relative:paragraph;z-index:15762432" id="docshape78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“Changes to the Administration of Commercial Litigation in Arizona: A Brief Overview</w:t>
      </w:r>
      <w:r>
        <w:rPr>
          <w:color w:val="6E6158"/>
          <w:spacing w:val="40"/>
        </w:rPr>
        <w:t> </w:t>
      </w:r>
      <w:r>
        <w:rPr>
          <w:color w:val="6E6158"/>
        </w:rPr>
        <w:t>of the Commercial Court Pilot Program”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142997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653pt;width:1.65pt;height:1.65pt;mso-position-horizontal-relative:page;mso-position-vertical-relative:paragraph;z-index:15762944" id="docshape7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“Financial</w:t>
      </w:r>
      <w:r>
        <w:rPr>
          <w:color w:val="6E6158"/>
          <w:spacing w:val="11"/>
        </w:rPr>
        <w:t> </w:t>
      </w:r>
      <w:r>
        <w:rPr>
          <w:color w:val="6E6158"/>
        </w:rPr>
        <w:t>Institutions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Social</w:t>
      </w:r>
      <w:r>
        <w:rPr>
          <w:color w:val="6E6158"/>
          <w:spacing w:val="10"/>
        </w:rPr>
        <w:t> </w:t>
      </w:r>
      <w:r>
        <w:rPr>
          <w:color w:val="6E6158"/>
        </w:rPr>
        <w:t>Media:</w:t>
      </w:r>
      <w:r>
        <w:rPr>
          <w:color w:val="6E6158"/>
          <w:spacing w:val="11"/>
        </w:rPr>
        <w:t> </w:t>
      </w:r>
      <w:r>
        <w:rPr>
          <w:color w:val="6E6158"/>
        </w:rPr>
        <w:t>Final</w:t>
      </w:r>
      <w:r>
        <w:rPr>
          <w:color w:val="6E6158"/>
          <w:spacing w:val="10"/>
        </w:rPr>
        <w:t> </w:t>
      </w:r>
      <w:r>
        <w:rPr>
          <w:color w:val="6E6158"/>
        </w:rPr>
        <w:t>Guidance</w:t>
      </w:r>
      <w:r>
        <w:rPr>
          <w:color w:val="6E6158"/>
          <w:spacing w:val="11"/>
        </w:rPr>
        <w:t> </w:t>
      </w:r>
      <w:r>
        <w:rPr>
          <w:color w:val="6E6158"/>
        </w:rPr>
        <w:t>Issued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FFIEC”</w:t>
      </w:r>
    </w:p>
    <w:p>
      <w:pPr>
        <w:pStyle w:val="BodyText"/>
        <w:spacing w:line="292" w:lineRule="auto" w:before="174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263264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9507pt;width:1.65pt;height:1.65pt;mso-position-horizontal-relative:page;mso-position-vertical-relative:paragraph;z-index:15763456" id="docshape80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“Facilitating Financial Transactions in the Age of Internet Gambling: Compliance </w:t>
      </w:r>
      <w:r>
        <w:rPr>
          <w:color w:val="6E6158"/>
        </w:rPr>
        <w:t>with the Unlawful Internet Gambling Enforcement Act”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143209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377pt;width:1.65pt;height:1.65pt;mso-position-horizontal-relative:page;mso-position-vertical-relative:paragraph;z-index:15763968" id="docshape81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“CFPB</w:t>
      </w:r>
      <w:r>
        <w:rPr>
          <w:color w:val="6E6158"/>
          <w:spacing w:val="11"/>
        </w:rPr>
        <w:t> </w:t>
      </w:r>
      <w:r>
        <w:rPr>
          <w:color w:val="6E6158"/>
        </w:rPr>
        <w:t>Announces</w:t>
      </w:r>
      <w:r>
        <w:rPr>
          <w:color w:val="6E6158"/>
          <w:spacing w:val="11"/>
        </w:rPr>
        <w:t> </w:t>
      </w:r>
      <w:r>
        <w:rPr>
          <w:color w:val="6E6158"/>
        </w:rPr>
        <w:t>Early</w:t>
      </w:r>
      <w:r>
        <w:rPr>
          <w:color w:val="6E6158"/>
          <w:spacing w:val="11"/>
        </w:rPr>
        <w:t> </w:t>
      </w:r>
      <w:r>
        <w:rPr>
          <w:color w:val="6E6158"/>
        </w:rPr>
        <w:t>Warning</w:t>
      </w:r>
      <w:r>
        <w:rPr>
          <w:color w:val="6E6158"/>
          <w:spacing w:val="11"/>
        </w:rPr>
        <w:t> </w:t>
      </w:r>
      <w:r>
        <w:rPr>
          <w:color w:val="6E6158"/>
        </w:rPr>
        <w:t>Notice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Enforcement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Actions”</w:t>
      </w:r>
    </w:p>
    <w:p>
      <w:pPr>
        <w:pStyle w:val="BodyText"/>
        <w:spacing w:line="292" w:lineRule="auto" w:before="182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267922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6279pt;width:1.65pt;height:1.65pt;mso-position-horizontal-relative:page;mso-position-vertical-relative:paragraph;z-index:15764480" id="docshape82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“Betting and Buying: The Legality of Facilitating Financial Payments for </w:t>
      </w:r>
      <w:r>
        <w:rPr>
          <w:color w:val="6E6158"/>
        </w:rPr>
        <w:t>Internet </w:t>
      </w:r>
      <w:r>
        <w:rPr>
          <w:color w:val="6E6158"/>
          <w:spacing w:val="-2"/>
        </w:rPr>
        <w:t>Gambling”</w:t>
      </w:r>
    </w:p>
    <w:p>
      <w:pPr>
        <w:pStyle w:val="BodyText"/>
        <w:spacing w:line="292" w:lineRule="auto" w:before="12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230633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0093pt;width:1.65pt;height:1.65pt;mso-position-horizontal-relative:page;mso-position-vertical-relative:paragraph;z-index:15764992" id="docshape83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Dodd-Frank Act and Consumer Financial Protection Bureau, What You Need to </w:t>
      </w:r>
      <w:r>
        <w:rPr>
          <w:color w:val="6E6158"/>
          <w:spacing w:val="-2"/>
        </w:rPr>
        <w:t>Know”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66016" id="docshape84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“Emerging Issues: Social Media Guidelines for Banks and Financial </w:t>
      </w:r>
      <w:r>
        <w:rPr>
          <w:color w:val="6E6158"/>
        </w:rPr>
        <w:t>Institutions </w:t>
      </w:r>
      <w:r>
        <w:rPr>
          <w:color w:val="6E6158"/>
          <w:spacing w:val="-2"/>
        </w:rPr>
        <w:t>Explored”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66528" id="docshape85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“Deconstructing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Budget”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4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157604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806pt;width:1.65pt;height:1.65pt;mso-position-horizontal-relative:page;mso-position-vertical-relative:paragraph;z-index:15767040" id="docshape86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415970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3563pt;width:1.65pt;height:1.65pt;mso-position-horizontal-relative:page;mso-position-vertical-relative:paragraph;z-index:15767552" id="docshape87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674335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7313pt;width:1.65pt;height:1.65pt;mso-position-horizontal-relative:page;mso-position-vertical-relative:paragraph;z-index:15768064" id="docshape88" coordorigin="1670,1062" coordsize="33,33" path="m1691,1094l1682,1094,1678,1093,1671,1087,1670,1083,1670,1074,1671,1070,1678,1064,1682,1062,1691,1062,1694,1064,1701,1070,1702,1074,1702,1078,1702,1083,1701,1087,1694,1093,1691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Chair-Elect, Chandler Chamber of Commerce Board,</w:t>
      </w:r>
      <w:r>
        <w:rPr>
          <w:color w:val="6E6158"/>
          <w:spacing w:val="40"/>
        </w:rPr>
        <w:t> </w:t>
      </w:r>
      <w:r>
        <w:rPr>
          <w:color w:val="6E6158"/>
        </w:rPr>
        <w:t>Ninth</w:t>
      </w:r>
      <w:r>
        <w:rPr>
          <w:color w:val="6E6158"/>
          <w:spacing w:val="40"/>
        </w:rPr>
        <w:t> </w:t>
      </w:r>
      <w:r>
        <w:rPr>
          <w:color w:val="6E6158"/>
        </w:rPr>
        <w:t>Circuit</w:t>
      </w:r>
      <w:r>
        <w:rPr>
          <w:color w:val="6E6158"/>
          <w:spacing w:val="40"/>
        </w:rPr>
        <w:t> </w:t>
      </w:r>
      <w:r>
        <w:rPr>
          <w:color w:val="6E6158"/>
        </w:rPr>
        <w:t>Lawyers</w:t>
      </w:r>
      <w:r>
        <w:rPr>
          <w:color w:val="6E6158"/>
          <w:spacing w:val="40"/>
        </w:rPr>
        <w:t> </w:t>
      </w:r>
      <w:r>
        <w:rPr>
          <w:color w:val="6E6158"/>
        </w:rPr>
        <w:t>Representative Federal Bar Association, National Board of </w:t>
      </w:r>
      <w:r>
        <w:rPr>
          <w:color w:val="6E6158"/>
        </w:rPr>
        <w:t>Directors</w:t>
      </w:r>
    </w:p>
    <w:p>
      <w:pPr>
        <w:pStyle w:val="BodyText"/>
        <w:spacing w:line="420" w:lineRule="auto" w:before="6"/>
        <w:ind w:right="27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63380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0611pt;width:1.65pt;height:1.65pt;mso-position-horizontal-relative:page;mso-position-vertical-relative:paragraph;z-index:15768576" id="docshape89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326913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41219pt;width:1.65pt;height:1.65pt;mso-position-horizontal-relative:page;mso-position-vertical-relative:paragraph;z-index:15769088" id="docshape90" coordorigin="1670,515" coordsize="33,33" path="m1691,547l1682,547,1678,546,1671,539,1670,536,1670,527,1671,523,1678,516,1682,515,1691,515,1694,516,1701,523,1702,527,1702,531,1702,536,1701,539,1694,546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Federal Bar Association, Federal Litigation Section, Board </w:t>
      </w:r>
      <w:r>
        <w:rPr>
          <w:color w:val="6E6158"/>
        </w:rPr>
        <w:t>Member Federal Bar Association, National Sections and Divisions Council</w:t>
      </w:r>
    </w:p>
    <w:p>
      <w:pPr>
        <w:pStyle w:val="BodyText"/>
        <w:spacing w:line="420" w:lineRule="auto"/>
        <w:ind w:right="3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63728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8002pt;width:1.65pt;height:1.65pt;mso-position-horizontal-relative:page;mso-position-vertical-relative:paragraph;z-index:15769600" id="docshape91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322094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175pt;width:1.65pt;height:1.65pt;mso-position-horizontal-relative:page;mso-position-vertical-relative:paragraph;z-index:15770112" id="docshape92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Directors, Phoenix Chapter of Federal Bar Association, Past President and Member</w:t>
      </w:r>
      <w:r>
        <w:rPr>
          <w:color w:val="6E6158"/>
          <w:spacing w:val="40"/>
        </w:rPr>
        <w:t> </w:t>
      </w:r>
      <w:r>
        <w:rPr>
          <w:color w:val="6E6158"/>
        </w:rPr>
        <w:t>Arizona Women Lawyer’s Association, Board of Directors</w:t>
      </w:r>
    </w:p>
    <w:p>
      <w:pPr>
        <w:pStyle w:val="BodyText"/>
        <w:spacing w:line="292" w:lineRule="auto" w:before="5"/>
        <w:ind w:left="848" w:right="6205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1375552</wp:posOffset>
                </wp:positionH>
                <wp:positionV relativeFrom="paragraph">
                  <wp:posOffset>248745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9.586235pt;width:1.65pt;height:1.65pt;mso-position-horizontal-relative:page;mso-position-vertical-relative:paragraph;z-index:15770624" id="docshape93" coordorigin="2166,392" coordsize="33,33" path="m2187,424l2178,424,2174,423,2168,416,2166,412,2166,404,2168,400,2174,393,2178,392,2187,392,2191,393,2197,400,2199,404,2199,408,2199,412,2197,416,2191,423,2187,4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 Humane Society Board of Directors, </w:t>
      </w:r>
      <w:r>
        <w:rPr>
          <w:color w:val="6E6158"/>
        </w:rPr>
        <w:t>Chair</w:t>
      </w:r>
    </w:p>
    <w:p>
      <w:pPr>
        <w:pStyle w:val="BodyText"/>
        <w:spacing w:before="12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1375552</wp:posOffset>
                </wp:positionH>
                <wp:positionV relativeFrom="paragraph">
                  <wp:posOffset>142996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259585pt;width:1.65pt;height:1.65pt;mso-position-horizontal-relative:page;mso-position-vertical-relative:paragraph;z-index:15771136" id="docshape94" coordorigin="2166,225" coordsize="33,33" path="m2187,258l2178,258,2174,256,2168,250,2166,246,2166,237,2168,233,2174,227,2178,225,2187,225,2191,227,2197,233,2199,237,2199,241,2199,246,2197,250,2191,256,2187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1375552</wp:posOffset>
                </wp:positionH>
                <wp:positionV relativeFrom="paragraph">
                  <wp:posOffset>401362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1.603333pt;width:1.65pt;height:1.65pt;mso-position-horizontal-relative:page;mso-position-vertical-relative:paragraph;z-index:15771648" id="docshape95" coordorigin="2166,632" coordsize="33,33" path="m2187,665l2178,665,2174,663,2168,657,2166,653,2166,644,2168,640,2174,634,2178,632,2187,632,2191,634,2197,640,2199,644,2199,648,2199,653,2197,657,2191,663,2187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Directors,</w:t>
      </w:r>
      <w:r>
        <w:rPr>
          <w:color w:val="6E6158"/>
          <w:spacing w:val="14"/>
        </w:rPr>
        <w:t> </w:t>
      </w:r>
      <w:r>
        <w:rPr>
          <w:color w:val="6E6158"/>
        </w:rPr>
        <w:t>Vice-</w:t>
      </w:r>
      <w:r>
        <w:rPr>
          <w:color w:val="6E6158"/>
          <w:spacing w:val="-2"/>
        </w:rPr>
        <w:t>Chair</w:t>
      </w:r>
    </w:p>
    <w:p>
      <w:pPr>
        <w:pStyle w:val="BodyText"/>
        <w:spacing w:before="3"/>
        <w:ind w:left="0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1060346</wp:posOffset>
                </wp:positionH>
                <wp:positionV relativeFrom="paragraph">
                  <wp:posOffset>87485</wp:posOffset>
                </wp:positionV>
                <wp:extent cx="20955" cy="20955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888637pt;width:1.65pt;height:1.65pt;mso-position-horizontal-relative:page;mso-position-vertical-relative:paragraph;z-index:-15691776;mso-wrap-distance-left:0;mso-wrap-distance-right:0" id="docshape96" coordorigin="1670,138" coordsize="33,33" path="m1691,170l1682,170,1678,169,1671,162,1670,159,1670,150,1671,146,1678,139,1682,138,1691,138,1694,139,1701,146,1702,150,1702,154,1702,159,1701,162,1694,169,1691,170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848"/>
      </w:pPr>
      <w:r>
        <w:rPr>
          <w:color w:val="6E6158"/>
        </w:rPr>
        <w:t>Board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Directors,</w:t>
      </w:r>
      <w:r>
        <w:rPr>
          <w:color w:val="6E6158"/>
          <w:spacing w:val="17"/>
        </w:rPr>
        <w:t> </w:t>
      </w:r>
      <w:r>
        <w:rPr>
          <w:color w:val="6E6158"/>
        </w:rPr>
        <w:t>Governance</w:t>
      </w:r>
      <w:r>
        <w:rPr>
          <w:color w:val="6E6158"/>
          <w:spacing w:val="16"/>
        </w:rPr>
        <w:t> </w:t>
      </w:r>
      <w:r>
        <w:rPr>
          <w:color w:val="6E6158"/>
        </w:rPr>
        <w:t>Committee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Chair</w:t>
      </w:r>
    </w:p>
    <w:p>
      <w:pPr>
        <w:pStyle w:val="BodyText"/>
        <w:spacing w:line="420" w:lineRule="auto" w:before="174"/>
        <w:ind w:left="848" w:right="6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1375552</wp:posOffset>
                </wp:positionH>
                <wp:positionV relativeFrom="paragraph">
                  <wp:posOffset>169996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385537pt;width:1.65pt;height:1.65pt;mso-position-horizontal-relative:page;mso-position-vertical-relative:paragraph;z-index:15772160" id="docshape97" coordorigin="2166,268" coordsize="33,33" path="m2187,300l2178,300,2174,299,2168,292,2166,288,2166,279,2168,276,2174,269,2178,268,2187,268,2191,269,2197,276,2199,279,2199,284,2199,288,2197,292,2191,299,2187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1375552</wp:posOffset>
                </wp:positionH>
                <wp:positionV relativeFrom="paragraph">
                  <wp:posOffset>433529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4.136162pt;width:1.65pt;height:1.65pt;mso-position-horizontal-relative:page;mso-position-vertical-relative:paragraph;z-index:15772672" id="docshape98" coordorigin="2166,683" coordsize="33,33" path="m2187,715l2178,715,2174,714,2168,707,2166,703,2166,695,2168,691,2174,684,2178,683,2187,683,2191,684,2197,691,2199,695,2199,699,2199,703,2197,707,2191,714,2187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 of Arizona Humane Society Signature Event, Compassion with </w:t>
      </w:r>
      <w:r>
        <w:rPr>
          <w:color w:val="6E6158"/>
        </w:rPr>
        <w:t>Fashion Board of Directors, Member</w:t>
      </w:r>
    </w:p>
    <w:p>
      <w:pPr>
        <w:pStyle w:val="BodyText"/>
        <w:spacing w:line="231" w:lineRule="exact"/>
      </w:pPr>
      <w:r>
        <w:rPr>
          <w:color w:val="6E6158"/>
        </w:rPr>
        <w:t>Phoenix</w:t>
      </w:r>
      <w:r>
        <w:rPr>
          <w:color w:val="6E6158"/>
          <w:spacing w:val="13"/>
        </w:rPr>
        <w:t> </w:t>
      </w:r>
      <w:r>
        <w:rPr>
          <w:color w:val="6E6158"/>
        </w:rPr>
        <w:t>Suns</w:t>
      </w:r>
      <w:r>
        <w:rPr>
          <w:color w:val="6E6158"/>
          <w:spacing w:val="14"/>
        </w:rPr>
        <w:t> </w:t>
      </w:r>
      <w:r>
        <w:rPr>
          <w:color w:val="6E6158"/>
        </w:rPr>
        <w:t>Charities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88</w:t>
      </w:r>
    </w:p>
    <w:p>
      <w:pPr>
        <w:pStyle w:val="BodyText"/>
        <w:spacing w:line="420" w:lineRule="auto" w:before="60"/>
        <w:ind w:left="848" w:right="41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138942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40387pt;width:1.65pt;height:1.65pt;mso-position-horizontal-relative:page;mso-position-vertical-relative:paragraph;z-index:15773184" id="docshape99" coordorigin="1670,219" coordsize="33,33" path="m1691,251l1682,251,1678,250,1671,243,1670,240,1670,231,1671,227,1678,220,1682,219,1691,219,1694,220,1701,227,1702,231,1702,235,1702,240,1701,243,1694,250,1691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1375552</wp:posOffset>
                </wp:positionH>
                <wp:positionV relativeFrom="paragraph">
                  <wp:posOffset>97601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85154pt;width:1.65pt;height:1.65pt;mso-position-horizontal-relative:page;mso-position-vertical-relative:paragraph;z-index:15773696" id="docshape100" coordorigin="2166,154" coordsize="33,33" path="m2187,186l2178,186,2174,185,2168,178,2166,174,2166,165,2168,162,2174,155,2178,154,2187,154,2191,155,2197,162,2199,165,2199,170,2199,174,2197,178,2191,185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1375552</wp:posOffset>
                </wp:positionH>
                <wp:positionV relativeFrom="paragraph">
                  <wp:posOffset>361133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435741pt;width:1.65pt;height:1.65pt;mso-position-horizontal-relative:page;mso-position-vertical-relative:paragraph;z-index:15774208" id="docshape101" coordorigin="2166,569" coordsize="33,33" path="m2187,601l2178,601,2174,600,2168,593,2166,589,2166,580,2168,577,2174,570,2178,569,2187,569,2191,570,2197,577,2199,580,2199,585,2199,589,2197,593,2191,600,2187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 (known as “The Big </w:t>
      </w:r>
      <w:r>
        <w:rPr>
          <w:color w:val="6E6158"/>
        </w:rPr>
        <w:t>Gorillas”) </w:t>
      </w:r>
      <w:r>
        <w:rPr>
          <w:color w:val="6E6158"/>
          <w:spacing w:val="-2"/>
        </w:rPr>
        <w:t>Member</w:t>
      </w:r>
    </w:p>
    <w:p>
      <w:pPr>
        <w:pStyle w:val="BodyText"/>
        <w:spacing w:line="420" w:lineRule="auto"/>
        <w:ind w:right="6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63659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2540pt;width:1.65pt;height:1.65pt;mso-position-horizontal-relative:page;mso-position-vertical-relative:paragraph;z-index:15774720" id="docshape102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322024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6283pt;width:1.65pt;height:1.65pt;mso-position-horizontal-relative:page;mso-position-vertical-relative:paragraph;z-index:15775232" id="docshape103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Site Council for Curriculum Development, Knox Gifted Academy </w:t>
      </w:r>
      <w:r>
        <w:rPr>
          <w:color w:val="6E6158"/>
        </w:rPr>
        <w:t>(Chandler) Board of Directors, Herberger Theater Center</w:t>
      </w:r>
    </w:p>
    <w:p>
      <w:pPr>
        <w:pStyle w:val="BodyText"/>
        <w:spacing w:before="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62649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33059pt;width:1.65pt;height:1.65pt;mso-position-horizontal-relative:page;mso-position-vertical-relative:paragraph;z-index:15775744" id="docshape104" coordorigin="1670,99" coordsize="33,33" path="m1691,131l1682,131,1678,130,1671,123,1670,119,1670,110,1671,107,1678,100,1682,99,1691,99,1694,100,1701,107,1702,110,1702,115,1702,119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Women’s</w:t>
      </w:r>
      <w:r>
        <w:rPr>
          <w:color w:val="6E6158"/>
          <w:spacing w:val="9"/>
        </w:rPr>
        <w:t> </w:t>
      </w:r>
      <w:r>
        <w:rPr>
          <w:color w:val="6E6158"/>
        </w:rPr>
        <w:t>Metropolitan</w:t>
      </w:r>
      <w:r>
        <w:rPr>
          <w:color w:val="6E6158"/>
          <w:spacing w:val="10"/>
        </w:rPr>
        <w:t> </w:t>
      </w:r>
      <w:r>
        <w:rPr>
          <w:color w:val="6E6158"/>
        </w:rPr>
        <w:t>Arts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Council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157720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954pt;width:1.65pt;height:1.65pt;mso-position-horizontal-relative:page;mso-position-vertical-relative:paragraph;z-index:15776256" id="docshape10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175450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992pt;width:1.65pt;height:1.65pt;mso-position-horizontal-relative:page;mso-position-vertical-relative:paragraph;z-index:15776768" id="docshape106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175400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03pt;width:1.65pt;height:1.65pt;mso-position-horizontal-relative:page;mso-position-vertical-relative:paragraph;z-index:15777280" id="docshape10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170269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7068pt;width:1.65pt;height:1.65pt;mso-position-horizontal-relative:page;mso-position-vertical-relative:paragraph;z-index:15777792" id="docshape108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marconi@fennemorelaw.com" TargetMode="External"/><Relationship Id="rId11" Type="http://schemas.openxmlformats.org/officeDocument/2006/relationships/hyperlink" Target="https://www.fennemorelaw.com/clickwrap-agreements-are-binding-contracts-key-considerations-for-consumers-and-businesses/" TargetMode="External"/><Relationship Id="rId12" Type="http://schemas.openxmlformats.org/officeDocument/2006/relationships/hyperlink" Target="https://www.fennemorelaw.com/insights/newsletters/2021/osha-issues-emergency-temporary-standard-for-health-care-employers" TargetMode="External"/><Relationship Id="rId13" Type="http://schemas.openxmlformats.org/officeDocument/2006/relationships/hyperlink" Target="https://www.fennemorelaw.com/insights/newsletters/2021/what-to-know-updated-osha-covid-19-guidance-for-workplaces" TargetMode="External"/><Relationship Id="rId14" Type="http://schemas.openxmlformats.org/officeDocument/2006/relationships/hyperlink" Target="https://inbusinessphx.com/legal-regulations/contract-dispute-resolution-provisions-are-not-one-size-fits-all#.YJVOOrVKgUH" TargetMode="External"/><Relationship Id="rId15" Type="http://schemas.openxmlformats.org/officeDocument/2006/relationships/hyperlink" Target="https://issuu.com/timespub/docs/afn_0428_book/32" TargetMode="External"/><Relationship Id="rId16" Type="http://schemas.openxmlformats.org/officeDocument/2006/relationships/hyperlink" Target="https://www.fennemorelaw.com/insights/newsletters/2021/arizona-enacts-covid-19-liability-protections-for-health-professionals" TargetMode="External"/><Relationship Id="rId17" Type="http://schemas.openxmlformats.org/officeDocument/2006/relationships/hyperlink" Target="https://www.fennemorelaw.com/insights/newsletters/2021/governor-ducey-bans-vaccine-passports-for-state-and-local-governments" TargetMode="External"/><Relationship Id="rId18" Type="http://schemas.openxmlformats.org/officeDocument/2006/relationships/hyperlink" Target="https://www.fennemorelaw.com/insights/newsletters/2021/arizona-enacts-covid-19-liability-shield-law" TargetMode="External"/><Relationship Id="rId19" Type="http://schemas.openxmlformats.org/officeDocument/2006/relationships/hyperlink" Target="https://www.fennemorelaw.com/insights/newsletters/2020/what-recent-regulatory-actions-can-tell-payment-processors-and-isos-about-the-anticipated-wave-of-covid-19-related-enforcement-and-how-to-protect-your-business" TargetMode="External"/><Relationship Id="rId20" Type="http://schemas.openxmlformats.org/officeDocument/2006/relationships/hyperlink" Target="https://www.fennemorelaw.com/insights/newsletters/2020/all-good-things-must-come-to-an-end" TargetMode="External"/><Relationship Id="rId21" Type="http://schemas.openxmlformats.org/officeDocument/2006/relationships/hyperlink" Target="https://www.fennemorelaw.com/insights/newsletters/2020/covid-19-and-its-impact-on-statutes-of-limitation-for-legal-claims" TargetMode="External"/><Relationship Id="rId22" Type="http://schemas.openxmlformats.org/officeDocument/2006/relationships/hyperlink" Target="https://www.fennemorelaw.com/insights/newsletters/2019/vazquez-v-jan-pro-franchising-international-inc-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L. Marconi - Fennemore</dc:title>
  <dcterms:created xsi:type="dcterms:W3CDTF">2026-04-18T22:33:05Z</dcterms:created>
  <dcterms:modified xsi:type="dcterms:W3CDTF">2026-04-18T22:33:05Z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