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rsonTrigueir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405" w:right="0" w:firstLine="147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CARSON TRIGUEIRO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559.446.3274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ctrigueiro@fennemorelaw.com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arsonTrigueiro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405" w:right="0" w:firstLine="147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CARSON TRIGUEIRO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559.446.3274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ctrigueiro@fennemorelaw.com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CARSON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TRIGUEIRO</w:t>
      </w:r>
    </w:p>
    <w:p>
      <w:pPr>
        <w:pStyle w:val="BodyText"/>
        <w:spacing w:line="302" w:lineRule="auto"/>
        <w:ind w:right="702"/>
      </w:pPr>
      <w:r>
        <w:rPr>
          <w:color w:val="6E6158"/>
        </w:rPr>
        <w:t>Carson Trigueiro is a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attorney with experience in assisting with numerous </w:t>
      </w:r>
      <w:r>
        <w:rPr>
          <w:color w:val="6E6158"/>
        </w:rPr>
        <w:t>types</w:t>
      </w:r>
      <w:r>
        <w:rPr>
          <w:color w:val="6E6158"/>
          <w:spacing w:val="80"/>
        </w:rPr>
        <w:t> </w:t>
      </w:r>
      <w:r>
        <w:rPr>
          <w:color w:val="6E6158"/>
        </w:rPr>
        <w:t>of both business and trust estates disputes.</w:t>
      </w:r>
    </w:p>
    <w:p>
      <w:pPr>
        <w:pStyle w:val="BodyText"/>
        <w:spacing w:line="295" w:lineRule="auto" w:before="186"/>
        <w:ind w:right="564"/>
      </w:pPr>
      <w:r>
        <w:rPr>
          <w:color w:val="6E6158"/>
        </w:rPr>
        <w:t>Carson started his Fennemore journey as a summer associate, where he drafted numerous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research memos and a Memo of Points and Authorities for a case proceeding to trial. Prior to</w:t>
      </w:r>
      <w:r>
        <w:rPr>
          <w:color w:val="6E6158"/>
          <w:spacing w:val="40"/>
        </w:rPr>
        <w:t> </w:t>
      </w:r>
      <w:r>
        <w:rPr>
          <w:color w:val="6E6158"/>
        </w:rPr>
        <w:t>joining Fennemore, Carson clerked at the Fresno City Attorney’s Office, gaining valuable</w:t>
      </w:r>
      <w:r>
        <w:rPr>
          <w:color w:val="6E6158"/>
          <w:spacing w:val="40"/>
        </w:rPr>
        <w:t> </w:t>
      </w:r>
      <w:r>
        <w:rPr>
          <w:color w:val="6E6158"/>
        </w:rPr>
        <w:t>experience in arbitration hearings and handling the intake process for the city’s eviction</w:t>
      </w:r>
      <w:r>
        <w:rPr>
          <w:color w:val="6E6158"/>
          <w:spacing w:val="40"/>
        </w:rPr>
        <w:t> </w:t>
      </w:r>
      <w:r>
        <w:rPr>
          <w:color w:val="6E6158"/>
        </w:rPr>
        <w:t>protection</w:t>
      </w:r>
      <w:r>
        <w:rPr>
          <w:color w:val="6E6158"/>
          <w:spacing w:val="29"/>
        </w:rPr>
        <w:t> </w:t>
      </w:r>
      <w:r>
        <w:rPr>
          <w:color w:val="6E6158"/>
        </w:rPr>
        <w:t>program.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constituent</w:t>
      </w:r>
      <w:r>
        <w:rPr>
          <w:color w:val="6E6158"/>
          <w:spacing w:val="29"/>
        </w:rPr>
        <w:t> </w:t>
      </w:r>
      <w:r>
        <w:rPr>
          <w:color w:val="6E6158"/>
        </w:rPr>
        <w:t>services</w:t>
      </w:r>
      <w:r>
        <w:rPr>
          <w:color w:val="6E6158"/>
          <w:spacing w:val="29"/>
        </w:rPr>
        <w:t> </w:t>
      </w:r>
      <w:r>
        <w:rPr>
          <w:color w:val="6E6158"/>
        </w:rPr>
        <w:t>assistant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City</w:t>
      </w:r>
      <w:r>
        <w:rPr>
          <w:color w:val="6E6158"/>
          <w:spacing w:val="29"/>
        </w:rPr>
        <w:t> </w:t>
      </w:r>
      <w:r>
        <w:rPr>
          <w:color w:val="6E6158"/>
        </w:rPr>
        <w:t>Council</w:t>
      </w:r>
    </w:p>
    <w:p>
      <w:pPr>
        <w:pStyle w:val="BodyText"/>
        <w:spacing w:line="232" w:lineRule="exact" w:before="0"/>
      </w:pPr>
      <w:r>
        <w:rPr>
          <w:color w:val="6E6158"/>
          <w:spacing w:val="-2"/>
        </w:rPr>
        <w:t>President.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0"/>
        <w:ind w:right="563"/>
      </w:pPr>
      <w:r>
        <w:rPr>
          <w:color w:val="6E6158"/>
        </w:rPr>
        <w:t>Carson earned his law degree from the University of Southern California Gould School of Law. He</w:t>
      </w:r>
      <w:r>
        <w:rPr>
          <w:color w:val="6E6158"/>
          <w:spacing w:val="40"/>
        </w:rPr>
        <w:t> </w:t>
      </w:r>
      <w:r>
        <w:rPr>
          <w:color w:val="6E6158"/>
        </w:rPr>
        <w:t>also attended the University of California, Los Angeles, and West Hills College for his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undergraduate degree. There, he pitched for the West Hills College baseball team, helped to</w:t>
      </w:r>
      <w:r>
        <w:rPr>
          <w:color w:val="6E6158"/>
          <w:spacing w:val="40"/>
        </w:rPr>
        <w:t> </w:t>
      </w:r>
      <w:r>
        <w:rPr>
          <w:color w:val="6E6158"/>
        </w:rPr>
        <w:t>organize</w:t>
      </w:r>
      <w:r>
        <w:rPr>
          <w:color w:val="6E6158"/>
          <w:spacing w:val="32"/>
        </w:rPr>
        <w:t> </w:t>
      </w:r>
      <w:r>
        <w:rPr>
          <w:color w:val="6E6158"/>
        </w:rPr>
        <w:t>campus</w:t>
      </w:r>
      <w:r>
        <w:rPr>
          <w:color w:val="6E6158"/>
          <w:spacing w:val="32"/>
        </w:rPr>
        <w:t> </w:t>
      </w:r>
      <w:r>
        <w:rPr>
          <w:color w:val="6E6158"/>
        </w:rPr>
        <w:t>events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spread</w:t>
      </w:r>
      <w:r>
        <w:rPr>
          <w:color w:val="6E6158"/>
          <w:spacing w:val="32"/>
        </w:rPr>
        <w:t> </w:t>
      </w:r>
      <w:r>
        <w:rPr>
          <w:color w:val="6E6158"/>
        </w:rPr>
        <w:t>awareness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provide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victims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relationship</w:t>
      </w:r>
    </w:p>
    <w:p>
      <w:pPr>
        <w:pStyle w:val="BodyText"/>
        <w:spacing w:before="1"/>
      </w:pPr>
      <w:r>
        <w:rPr>
          <w:color w:val="6E6158"/>
        </w:rPr>
        <w:t>abuse,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volunteered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Central</w:t>
      </w:r>
      <w:r>
        <w:rPr>
          <w:color w:val="6E6158"/>
          <w:spacing w:val="10"/>
        </w:rPr>
        <w:t> </w:t>
      </w:r>
      <w:r>
        <w:rPr>
          <w:color w:val="6E6158"/>
        </w:rPr>
        <w:t>Valley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Project.</w:t>
      </w:r>
    </w:p>
    <w:p>
      <w:pPr>
        <w:pStyle w:val="Heading1"/>
        <w:spacing w:before="22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152491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717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Southern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Gould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175388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08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Angeles,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157811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066pt;width:1.65pt;height:1.65pt;mso-position-horizontal-relative:page;mso-position-vertical-relative:paragraph;z-index:15730176" id="docshape9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 w:right="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245476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8833pt;width:1.65pt;height:1.65pt;mso-position-horizontal-relative:page;mso-position-vertical-relative:paragraph;z-index:15730688" id="docshape10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Sites Reservoir Moves Forward: Understanding the Federal ROD and the </w:t>
        </w:r>
        <w:r>
          <w:rPr>
            <w:color w:val="F5821F"/>
          </w:rPr>
          <w:t>Road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Ahead</w:t>
        </w:r>
      </w:hyperlink>
      <w:r>
        <w:rPr>
          <w:color w:val="6E6158"/>
        </w:rPr>
        <w:t>,” California Water Law &amp; Policy Reporter, March 2026</w:t>
      </w:r>
    </w:p>
    <w:p>
      <w:pPr>
        <w:pStyle w:val="Heading1"/>
        <w:spacing w:before="285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157756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772pt;width:1.65pt;height:1.65pt;mso-position-horizontal-relative:page;mso-position-vertical-relative:paragraph;z-index:15731200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trigueiro@fennemorelaw.com" TargetMode="External"/><Relationship Id="rId11" Type="http://schemas.openxmlformats.org/officeDocument/2006/relationships/hyperlink" Target="https://www.fennemorelaw.com/sites-reservoir-moves-forward-understanding-the-federal-rod-and-the-road-ahea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Carson Trigueiro - Fennemore</dc:title>
  <dcterms:created xsi:type="dcterms:W3CDTF">2026-04-21T18:25:54Z</dcterms:created>
  <dcterms:modified xsi:type="dcterms:W3CDTF">2026-04-21T18:25:54Z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2026-04-21T00:00:00Z</vt:filetime>
  </property>
  <property fmtid="{D5CDD505-2E9C-101B-9397-08002B2CF9AE}" pid="6" name="Producer">
    <vt:lpwstr>Skia/PDF m146</vt:lpwstr>
  </property>
</Properties>
</file>