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5"/>
        <w:ind w:left="0"/>
        <w:rPr>
          <w:rFonts w:ascii="Times New Roman"/>
        </w:rPr>
      </w:pPr>
    </w:p>
    <w:p>
      <w:pPr>
        <w:pStyle w:val="BodyText"/>
        <w:spacing w:line="295" w:lineRule="auto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-4761464</wp:posOffset>
                </wp:positionV>
                <wp:extent cx="607187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9790"/>
                          <a:chExt cx="607187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Heather Mac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60267" y="1576031"/>
                            <a:ext cx="19894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320675">
                                <a:moveTo>
                                  <a:pt x="198941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9416" y="320382"/>
                                </a:lnTo>
                                <a:lnTo>
                                  <a:pt x="1989416" y="315214"/>
                                </a:lnTo>
                                <a:close/>
                              </a:path>
                              <a:path w="1989455" h="320675">
                                <a:moveTo>
                                  <a:pt x="1989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9416" y="5168"/>
                                </a:lnTo>
                                <a:lnTo>
                                  <a:pt x="1989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58905" y="763308"/>
                            <a:ext cx="2002789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HEATHER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MACRE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97" y="2066319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14615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8563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4929" y="2433198"/>
                            <a:ext cx="1490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hmacre@fennemorelaw.com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08541" y="3688855"/>
                            <a:ext cx="16706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swimming,</w:t>
                              </w:r>
                            </w:p>
                            <w:p>
                              <w:pPr>
                                <w:spacing w:before="89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-Dory,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Finding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Nemo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Finding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24396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HEATHER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MACRE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4.918457pt;width:478.1pt;height:367.7pt;mso-position-horizontal-relative:page;mso-position-vertical-relative:paragraph;z-index:15728640" id="docshapegroup1" coordorigin="1336,-7498" coordsize="9562,7354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499;width:2165;height:424" type="#_x0000_t75" id="docshape3" alt="Fennemore" href="https://www.fennemorelaw.com/" stroked="false">
                  <v:imagedata r:id="rId5" o:title=""/>
                </v:shape>
                <v:shape style="position:absolute;left:1336;top:-7076;width:4785;height:4452" type="#_x0000_t75" id="docshape4" alt="Heather Macre" stroked="false">
                  <v:imagedata r:id="rId7" o:title=""/>
                </v:shape>
                <v:rect style="position:absolute;left:6121;top:-7076;width:4777;height:4452" id="docshape5" filled="true" fillcolor="#262424" stroked="false">
                  <v:fill type="solid"/>
                </v:rect>
                <v:shape style="position:absolute;left:6942;top:-5017;width:3133;height:505" id="docshape6" coordorigin="6943,-5016" coordsize="3133,505" path="m10076,-4520l6943,-4520,6943,-4512,10076,-4512,10076,-4520xm10076,-5016l6943,-5016,6943,-5008,10076,-5008,1007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0;top:-6297;width:3154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HEATHER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MACRE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245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8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602.916.5396</w:t>
                        </w:r>
                      </w:p>
                    </w:txbxContent>
                  </v:textbox>
                  <w10:wrap type="none"/>
                </v:shape>
                <v:shape style="position:absolute;left:876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602.916.5596</w:t>
                        </w:r>
                      </w:p>
                    </w:txbxContent>
                  </v:textbox>
                  <w10:wrap type="none"/>
                </v:shape>
                <v:shape style="position:absolute;left:7343;top:-3667;width:2347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hmacre@fennemorelaw.com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14;top:-1690;width:2631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Just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swimming,</w:t>
                        </w:r>
                      </w:p>
                      <w:p>
                        <w:pPr>
                          <w:spacing w:before="89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-Dory,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Finding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Nemo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&amp;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Finding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Dory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95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HEATHER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MACRE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Heather Macre is a director in our litigation department in Phoenix where her work focuses in the</w:t>
      </w:r>
      <w:r>
        <w:rPr>
          <w:color w:val="6E6158"/>
          <w:spacing w:val="40"/>
        </w:rPr>
        <w:t> </w:t>
      </w:r>
      <w:r>
        <w:rPr>
          <w:color w:val="6E6158"/>
        </w:rPr>
        <w:t>areas of business litigation, healthcare and bankruptcy. Her business clients, ranging from huge</w:t>
      </w:r>
      <w:r>
        <w:rPr>
          <w:color w:val="6E6158"/>
          <w:spacing w:val="40"/>
        </w:rPr>
        <w:t> </w:t>
      </w:r>
      <w:r>
        <w:rPr>
          <w:color w:val="6E6158"/>
        </w:rPr>
        <w:t>multinational companies to small business owners rely on her astute counsel for matters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contract,</w:t>
      </w:r>
      <w:r>
        <w:rPr>
          <w:color w:val="6E6158"/>
          <w:spacing w:val="40"/>
        </w:rPr>
        <w:t> </w:t>
      </w:r>
      <w:r>
        <w:rPr>
          <w:color w:val="6E6158"/>
        </w:rPr>
        <w:t>confidentiality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dissolvements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patent</w:t>
      </w:r>
    </w:p>
    <w:p>
      <w:pPr>
        <w:pStyle w:val="BodyText"/>
        <w:spacing w:line="295" w:lineRule="auto" w:before="10"/>
        <w:ind w:left="99" w:right="402"/>
      </w:pPr>
      <w:r>
        <w:rPr>
          <w:color w:val="6E6158"/>
        </w:rPr>
        <w:t>disputes. In the healthcare arena, Heather’s business acumen encompasses all aspects of</w:t>
      </w:r>
      <w:r>
        <w:rPr>
          <w:color w:val="6E6158"/>
          <w:spacing w:val="40"/>
        </w:rPr>
        <w:t> </w:t>
      </w:r>
      <w:r>
        <w:rPr>
          <w:color w:val="6E6158"/>
        </w:rPr>
        <w:t>healthcare agreements, such as hospital recruitment agreements, employment agreements</w:t>
      </w:r>
      <w:r>
        <w:rPr>
          <w:color w:val="6E6158"/>
          <w:spacing w:val="80"/>
        </w:rPr>
        <w:t> </w:t>
      </w:r>
      <w:r>
        <w:rPr>
          <w:color w:val="6E6158"/>
        </w:rPr>
        <w:t>and non-compete covenants, and office-sharing agreements. She also provides professional</w:t>
      </w:r>
      <w:r>
        <w:rPr>
          <w:color w:val="6E6158"/>
          <w:spacing w:val="40"/>
        </w:rPr>
        <w:t> </w:t>
      </w:r>
      <w:r>
        <w:rPr>
          <w:color w:val="6E6158"/>
        </w:rPr>
        <w:t>representation in licensure and disciplinary proceedings, and in matters concerning HIPAA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Stark and False Claims Act compliance. Starting in 2008, when the valley of the sun witnessed</w:t>
      </w:r>
      <w:r>
        <w:rPr>
          <w:color w:val="6E6158"/>
          <w:spacing w:val="40"/>
        </w:rPr>
        <w:t> </w:t>
      </w:r>
      <w:r>
        <w:rPr>
          <w:color w:val="6E6158"/>
        </w:rPr>
        <w:t>firsthand the impacts of the recession and the collapse of the housing marketing, Heather has</w:t>
      </w:r>
      <w:r>
        <w:rPr>
          <w:color w:val="6E6158"/>
          <w:spacing w:val="40"/>
        </w:rPr>
        <w:t> </w:t>
      </w:r>
      <w:r>
        <w:rPr>
          <w:color w:val="6E6158"/>
        </w:rPr>
        <w:t>worked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numerous</w:t>
      </w:r>
      <w:r>
        <w:rPr>
          <w:color w:val="6E6158"/>
          <w:spacing w:val="38"/>
        </w:rPr>
        <w:t> </w:t>
      </w:r>
      <w:r>
        <w:rPr>
          <w:color w:val="6E6158"/>
        </w:rPr>
        <w:t>bankruptcy</w:t>
      </w:r>
      <w:r>
        <w:rPr>
          <w:color w:val="6E6158"/>
          <w:spacing w:val="38"/>
        </w:rPr>
        <w:t> </w:t>
      </w:r>
      <w:r>
        <w:rPr>
          <w:color w:val="6E6158"/>
        </w:rPr>
        <w:t>cases,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litigation</w:t>
      </w:r>
      <w:r>
        <w:rPr>
          <w:color w:val="6E6158"/>
          <w:spacing w:val="38"/>
        </w:rPr>
        <w:t> </w:t>
      </w:r>
      <w:r>
        <w:rPr>
          <w:color w:val="6E6158"/>
        </w:rPr>
        <w:t>asset</w:t>
      </w:r>
      <w:r>
        <w:rPr>
          <w:color w:val="6E6158"/>
          <w:spacing w:val="38"/>
        </w:rPr>
        <w:t> </w:t>
      </w:r>
      <w:r>
        <w:rPr>
          <w:color w:val="6E6158"/>
        </w:rPr>
        <w:t>planning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healthcare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dissolution.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99" w:right="229"/>
      </w:pPr>
      <w:r>
        <w:rPr>
          <w:color w:val="6E6158"/>
        </w:rPr>
        <w:t>Originally an art history major, Heather’s love of challenges led her to law school at the University</w:t>
      </w:r>
      <w:r>
        <w:rPr>
          <w:color w:val="6E6158"/>
          <w:spacing w:val="40"/>
        </w:rPr>
        <w:t> </w:t>
      </w:r>
      <w:r>
        <w:rPr>
          <w:color w:val="6E6158"/>
        </w:rPr>
        <w:t>of Florida where she paid her way through school by performing as “Belle” from Beauty and the</w:t>
      </w:r>
      <w:r>
        <w:rPr>
          <w:color w:val="6E6158"/>
          <w:spacing w:val="40"/>
        </w:rPr>
        <w:t> </w:t>
      </w:r>
      <w:r>
        <w:rPr>
          <w:color w:val="6E6158"/>
        </w:rPr>
        <w:t>Beast. This creativity defines her work to this day where she likes to try different approaches,</w:t>
      </w:r>
      <w:r>
        <w:rPr>
          <w:color w:val="6E6158"/>
          <w:spacing w:val="80"/>
        </w:rPr>
        <w:t> </w:t>
      </w:r>
      <w:r>
        <w:rPr>
          <w:color w:val="6E6158"/>
        </w:rPr>
        <w:t>looking at her cases as intricate puzzles to be solved for the best outcomes.</w:t>
      </w:r>
    </w:p>
    <w:p>
      <w:pPr>
        <w:pStyle w:val="BodyText"/>
        <w:spacing w:before="206"/>
        <w:ind w:left="99"/>
      </w:pP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elected</w:t>
      </w:r>
      <w:r>
        <w:rPr>
          <w:color w:val="6E6158"/>
          <w:spacing w:val="11"/>
        </w:rPr>
        <w:t> </w:t>
      </w:r>
      <w:r>
        <w:rPr>
          <w:color w:val="6E6158"/>
        </w:rPr>
        <w:t>official,</w:t>
      </w:r>
      <w:r>
        <w:rPr>
          <w:color w:val="6E6158"/>
          <w:spacing w:val="11"/>
        </w:rPr>
        <w:t> </w:t>
      </w:r>
      <w:r>
        <w:rPr>
          <w:color w:val="6E6158"/>
        </w:rPr>
        <w:t>Heather</w:t>
      </w:r>
      <w:r>
        <w:rPr>
          <w:color w:val="6E6158"/>
          <w:spacing w:val="10"/>
        </w:rPr>
        <w:t> </w:t>
      </w:r>
      <w:r>
        <w:rPr>
          <w:color w:val="6E6158"/>
        </w:rPr>
        <w:t>serves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Water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Conservation. Heather is also the Co-Chief Privacy Officer at Fennemore. Her and her husband,</w:t>
      </w:r>
      <w:r>
        <w:rPr>
          <w:color w:val="6E6158"/>
          <w:spacing w:val="40"/>
        </w:rPr>
        <w:t> </w:t>
      </w:r>
      <w:r>
        <w:rPr>
          <w:color w:val="6E6158"/>
        </w:rPr>
        <w:t>Steven Kruczek, are the proud parents of a young daughter, Dorothy.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152814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2653pt;width:1.65pt;height:1.65pt;mso-position-horizontal-relative:page;mso-position-vertical-relative:paragraph;z-index:15729152" id="docshape16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Florida,</w:t>
      </w:r>
      <w:r>
        <w:rPr>
          <w:color w:val="6E6158"/>
          <w:spacing w:val="11"/>
        </w:rPr>
        <w:t> </w:t>
      </w:r>
      <w:r>
        <w:rPr>
          <w:color w:val="6E6158"/>
        </w:rPr>
        <w:t>Levin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Florida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68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989pt;width:1.65pt;height:1.65pt;mso-position-horizontal-relative:page;mso-position-vertical-relative:paragraph;z-index:15730176" id="docshape1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416340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738pt;width:1.65pt;height:1.65pt;mso-position-horizontal-relative:page;mso-position-vertical-relative:paragraph;z-index:15730688" id="docshape1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59913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7613pt;width:1.65pt;height:1.65pt;mso-position-horizontal-relative:page;mso-position-vertical-relative:paragraph;z-index:15731200" id="docshape20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Restructuring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168044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31829pt;width:1.65pt;height:1.65pt;mso-position-horizontal-relative:page;mso-position-vertical-relative:paragraph;z-index:15731712" id="docshape21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Administrative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/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line="288" w:lineRule="auto" w:before="173"/>
        <w:ind w:left="351" w:right="40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277212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827761pt;width:1.65pt;height:1.65pt;mso-position-horizontal-relative:page;mso-position-vertical-relative:paragraph;z-index:15732224" id="docshape22" coordorigin="1670,437" coordsize="33,33" path="m1691,469l1682,469,1678,468,1671,461,1670,457,1670,448,1671,444,1678,438,1682,437,1691,437,1694,438,1701,444,1702,448,1702,453,1702,457,1701,461,1694,468,1691,4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Rights, Insolvency </w:t>
      </w:r>
      <w:r>
        <w:rPr>
          <w:color w:val="6E6158"/>
          <w:sz w:val="19"/>
        </w:rPr>
        <w:t>and Reorganization Law, Health Care Law, 2020-2025</w:t>
      </w:r>
    </w:p>
    <w:p>
      <w:pPr>
        <w:spacing w:before="12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156138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94385pt;width:1.65pt;height:1.65pt;mso-position-horizontal-relative:page;mso-position-vertical-relative:paragraph;z-index:15732736" id="docshape23" coordorigin="1670,246" coordsize="33,33" path="m1691,278l1682,278,1678,277,1671,270,1670,267,1670,258,1671,254,1678,247,1682,246,1691,246,1694,247,1701,254,1702,258,1702,262,1702,267,1701,270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Bankruptcy: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184361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6655pt;width:1.65pt;height:1.65pt;mso-position-horizontal-relative:page;mso-position-vertical-relative:paragraph;z-index:15733248" id="docshape24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173673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5101pt;width:1.65pt;height:1.65pt;mso-position-horizontal-relative:page;mso-position-vertical-relative:paragraph;z-index:15733760" id="docshape25" coordorigin="1670,274" coordsize="33,33" path="m1691,306l1682,306,1678,304,1671,298,1670,294,1670,285,1671,281,1678,275,1682,274,1691,274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Nominee,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</w:rPr>
        <w:t>Institute</w:t>
      </w:r>
      <w:r>
        <w:rPr>
          <w:color w:val="6E6158"/>
          <w:spacing w:val="14"/>
        </w:rPr>
        <w:t> </w:t>
      </w:r>
      <w:r>
        <w:rPr>
          <w:color w:val="6E6158"/>
        </w:rPr>
        <w:t>40</w:t>
      </w:r>
      <w:r>
        <w:rPr>
          <w:color w:val="6E6158"/>
          <w:spacing w:val="14"/>
        </w:rPr>
        <w:t> </w:t>
      </w:r>
      <w:r>
        <w:rPr>
          <w:color w:val="6E6158"/>
        </w:rPr>
        <w:t>Under</w:t>
      </w:r>
      <w:r>
        <w:rPr>
          <w:color w:val="6E6158"/>
          <w:spacing w:val="14"/>
        </w:rPr>
        <w:t> </w:t>
      </w:r>
      <w:r>
        <w:rPr>
          <w:color w:val="6E6158"/>
        </w:rPr>
        <w:t>40,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2017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169813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1144pt;width:1.65pt;height:1.65pt;mso-position-horizontal-relative:page;mso-position-vertical-relative:paragraph;z-index:15734272" id="docshape26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Honoree,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40,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06" w:lineRule="exact" w:before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158038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994pt;width:1.65pt;height:1.65pt;mso-position-horizontal-relative:page;mso-position-vertical-relative:paragraph;z-index:15734784" id="docshape2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509415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111492pt;width:1.65pt;height:1.65pt;mso-position-horizontal-relative:page;mso-position-vertical-relative:paragraph;z-index:15735296" id="docshape28" coordorigin="1670,802" coordsize="33,33" path="m1691,835l1682,835,1678,833,1671,827,1670,823,1670,814,1671,810,1678,804,1682,802,1691,802,1694,804,1701,810,1702,814,1702,819,1702,823,1701,827,1694,833,1691,8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Who’s Who in Arizona Healthcare for 2025</w:t>
        </w:r>
      </w:hyperlink>
      <w:r>
        <w:rPr>
          <w:color w:val="6E6158"/>
        </w:rPr>
        <w:t>,” AZ Big Media, November 19, </w:t>
      </w:r>
      <w:r>
        <w:rPr>
          <w:color w:val="6E6158"/>
        </w:rPr>
        <w:t>2024 Featured,</w:t>
      </w:r>
      <w:r>
        <w:rPr>
          <w:color w:val="6E6158"/>
          <w:spacing w:val="36"/>
        </w:rPr>
        <w:t> </w:t>
      </w:r>
      <w:r>
        <w:rPr>
          <w:color w:val="6E6158"/>
        </w:rPr>
        <w:t>“Opinion:</w:t>
      </w:r>
      <w:r>
        <w:rPr>
          <w:color w:val="6E6158"/>
          <w:spacing w:val="36"/>
        </w:rPr>
        <w:t> </w:t>
      </w:r>
      <w:r>
        <w:rPr>
          <w:color w:val="6E6158"/>
        </w:rPr>
        <w:t>What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know</w:t>
      </w:r>
      <w:r>
        <w:rPr>
          <w:color w:val="6E6158"/>
          <w:spacing w:val="36"/>
        </w:rPr>
        <w:t> </w:t>
      </w:r>
      <w:r>
        <w:rPr>
          <w:color w:val="6E6158"/>
        </w:rPr>
        <w:t>about</w:t>
      </w:r>
      <w:r>
        <w:rPr>
          <w:color w:val="6E6158"/>
          <w:spacing w:val="36"/>
        </w:rPr>
        <w:t> </w:t>
      </w:r>
      <w:r>
        <w:rPr>
          <w:color w:val="6E6158"/>
        </w:rPr>
        <w:t>Central</w:t>
      </w:r>
      <w:r>
        <w:rPr>
          <w:color w:val="6E6158"/>
          <w:spacing w:val="36"/>
        </w:rPr>
        <w:t> </w:t>
      </w:r>
      <w:r>
        <w:rPr>
          <w:color w:val="6E6158"/>
        </w:rPr>
        <w:t>Arizona</w:t>
      </w:r>
      <w:r>
        <w:rPr>
          <w:color w:val="6E6158"/>
          <w:spacing w:val="36"/>
        </w:rPr>
        <w:t> </w:t>
      </w:r>
      <w:r>
        <w:rPr>
          <w:color w:val="6E6158"/>
        </w:rPr>
        <w:t>Water</w:t>
      </w:r>
      <w:r>
        <w:rPr>
          <w:color w:val="6E6158"/>
          <w:spacing w:val="36"/>
        </w:rPr>
        <w:t> </w:t>
      </w:r>
      <w:r>
        <w:rPr>
          <w:color w:val="6E6158"/>
        </w:rPr>
        <w:t>Conservation</w:t>
      </w:r>
      <w:r>
        <w:rPr>
          <w:color w:val="6E6158"/>
          <w:spacing w:val="36"/>
        </w:rPr>
        <w:t> </w:t>
      </w:r>
      <w:r>
        <w:rPr>
          <w:color w:val="6E6158"/>
        </w:rPr>
        <w:t>District</w:t>
      </w:r>
    </w:p>
    <w:p>
      <w:pPr>
        <w:pStyle w:val="BodyText"/>
        <w:spacing w:before="22"/>
      </w:pPr>
      <w:r>
        <w:rPr>
          <w:color w:val="6E6158"/>
        </w:rPr>
        <w:t>candidates,”</w:t>
      </w:r>
      <w:r>
        <w:rPr>
          <w:color w:val="6E6158"/>
          <w:spacing w:val="13"/>
        </w:rPr>
        <w:t> </w:t>
      </w:r>
      <w:r>
        <w:rPr>
          <w:color w:val="6E6158"/>
        </w:rPr>
        <w:t>AZ</w:t>
      </w:r>
      <w:r>
        <w:rPr>
          <w:color w:val="6E6158"/>
          <w:spacing w:val="14"/>
        </w:rPr>
        <w:t> </w:t>
      </w:r>
      <w:r>
        <w:rPr>
          <w:color w:val="6E6158"/>
        </w:rPr>
        <w:t>Central,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175022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277pt;width:1.65pt;height:1.65pt;mso-position-horizontal-relative:page;mso-position-vertical-relative:paragraph;z-index:15735808" id="docshape2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Who’s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Healthcare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2024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9,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267983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1082pt;width:1.65pt;height:1.65pt;mso-position-horizontal-relative:page;mso-position-vertical-relative:paragraph;z-index:15736320" id="docshape30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“Big Changes Are Coming to HIPAA Privacy Laws Heading into Summer,” inBusiness, June 1, 2023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223941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3175pt;width:1.65pt;height:1.65pt;mso-position-horizontal-relative:page;mso-position-vertical-relative:paragraph;z-index:15736832" id="docshape3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should know about recent changes to HIPAA privacy laws,” The Business Journal, May 2, 2023</w:t>
      </w:r>
    </w:p>
    <w:p>
      <w:pPr>
        <w:pStyle w:val="BodyText"/>
        <w:spacing w:line="302" w:lineRule="auto" w:before="124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236271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031pt;width:1.65pt;height:1.65pt;mso-position-horizontal-relative:page;mso-position-vertical-relative:paragraph;z-index:15737344" id="docshape3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should know about recent changes to HIPAA privacy laws,” AZ Big Media, May 2, 2023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130968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25pt;width:1.65pt;height:1.65pt;mso-position-horizontal-relative:page;mso-position-vertical-relative:paragraph;z-index:15737856" id="docshape33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3"/>
        </w:rPr>
        <w:t> </w:t>
      </w:r>
      <w:r>
        <w:rPr>
          <w:color w:val="6E6158"/>
        </w:rPr>
        <w:t>“Legal,</w:t>
      </w:r>
      <w:r>
        <w:rPr>
          <w:color w:val="6E6158"/>
          <w:spacing w:val="14"/>
        </w:rPr>
        <w:t> </w:t>
      </w:r>
      <w:r>
        <w:rPr>
          <w:color w:val="6E6158"/>
        </w:rPr>
        <w:t>Healthcare</w:t>
      </w:r>
      <w:r>
        <w:rPr>
          <w:color w:val="6E6158"/>
          <w:spacing w:val="14"/>
        </w:rPr>
        <w:t> </w:t>
      </w:r>
      <w:r>
        <w:rPr>
          <w:color w:val="6E6158"/>
        </w:rPr>
        <w:t>Trends</w:t>
      </w:r>
      <w:r>
        <w:rPr>
          <w:color w:val="6E6158"/>
          <w:spacing w:val="13"/>
        </w:rPr>
        <w:t> </w:t>
      </w:r>
      <w:r>
        <w:rPr>
          <w:color w:val="6E6158"/>
        </w:rPr>
        <w:t>Impacts</w:t>
      </w:r>
      <w:r>
        <w:rPr>
          <w:color w:val="6E6158"/>
          <w:spacing w:val="14"/>
        </w:rPr>
        <w:t> </w:t>
      </w:r>
      <w:r>
        <w:rPr>
          <w:color w:val="6E6158"/>
        </w:rPr>
        <w:t>Arizonans,”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PBS,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</w:rPr>
        <w:t>16,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263299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283pt;width:1.65pt;height:1.65pt;mso-position-horizontal-relative:page;mso-position-vertical-relative:paragraph;z-index:15738368" id="docshape34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“Legal requirements of senior living residency agreements,” City Sun Times, January 29,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143247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32pt;width:1.65pt;height:1.65pt;mso-position-horizontal-relative:page;mso-position-vertical-relative:paragraph;z-index:15738880" id="docshape35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“How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choose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elder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1"/>
        </w:rPr>
        <w:t> </w:t>
      </w:r>
      <w:r>
        <w:rPr>
          <w:color w:val="6E6158"/>
        </w:rPr>
        <w:t>facility,”</w:t>
      </w:r>
      <w:r>
        <w:rPr>
          <w:color w:val="6E6158"/>
          <w:spacing w:val="11"/>
        </w:rPr>
        <w:t> </w:t>
      </w:r>
      <w:r>
        <w:rPr>
          <w:color w:val="6E6158"/>
        </w:rPr>
        <w:t>Ahwatukee</w:t>
      </w:r>
      <w:r>
        <w:rPr>
          <w:color w:val="6E6158"/>
          <w:spacing w:val="11"/>
        </w:rPr>
        <w:t> </w:t>
      </w:r>
      <w:r>
        <w:rPr>
          <w:color w:val="6E6158"/>
        </w:rPr>
        <w:t>Foothill</w:t>
      </w:r>
      <w:r>
        <w:rPr>
          <w:color w:val="6E6158"/>
          <w:spacing w:val="11"/>
        </w:rPr>
        <w:t> </w:t>
      </w:r>
      <w:r>
        <w:rPr>
          <w:color w:val="6E6158"/>
        </w:rPr>
        <w:t>News,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13,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262878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9125pt;width:1.65pt;height:1.65pt;mso-position-horizontal-relative:page;mso-position-vertical-relative:paragraph;z-index:15739392" id="docshape3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“Legal Requirements of Senior Living Residency Agreements,” AZ Big </w:t>
      </w:r>
      <w:r>
        <w:rPr>
          <w:color w:val="6E6158"/>
        </w:rPr>
        <w:t>Media, July/August 2022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142826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6212pt;width:1.65pt;height:1.65pt;mso-position-horizontal-relative:page;mso-position-vertical-relative:paragraph;z-index:15739904" id="docshape37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“What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1"/>
        </w:rPr>
        <w:t> </w:t>
      </w:r>
      <w:r>
        <w:rPr>
          <w:color w:val="6E6158"/>
        </w:rPr>
        <w:t>Need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Know</w:t>
      </w:r>
      <w:r>
        <w:rPr>
          <w:color w:val="6E6158"/>
          <w:spacing w:val="10"/>
        </w:rPr>
        <w:t> </w:t>
      </w:r>
      <w:r>
        <w:rPr>
          <w:color w:val="6E6158"/>
        </w:rPr>
        <w:t>Choosing</w:t>
      </w:r>
      <w:r>
        <w:rPr>
          <w:color w:val="6E6158"/>
          <w:spacing w:val="11"/>
        </w:rPr>
        <w:t> </w:t>
      </w:r>
      <w:r>
        <w:rPr>
          <w:color w:val="6E6158"/>
        </w:rPr>
        <w:t>Elder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1"/>
        </w:rPr>
        <w:t> </w:t>
      </w:r>
      <w:r>
        <w:rPr>
          <w:color w:val="6E6158"/>
        </w:rPr>
        <w:t>Facility,”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PBS,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268173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6018pt;width:1.65pt;height:1.65pt;mso-position-horizontal-relative:page;mso-position-vertical-relative:paragraph;z-index:15740416" id="docshape38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“New No Surprises Act reducing the number of unexpected medical bills,” </w:t>
      </w:r>
      <w:r>
        <w:rPr>
          <w:color w:val="6E6158"/>
        </w:rPr>
        <w:t>Phoenix Business Journal, June 22, 2022</w:t>
      </w:r>
    </w:p>
    <w:p>
      <w:pPr>
        <w:pStyle w:val="BodyText"/>
        <w:spacing w:line="302" w:lineRule="auto" w:before="12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236053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92pt;width:1.65pt;height:1.65pt;mso-position-horizontal-relative:page;mso-position-vertical-relative:paragraph;z-index:15740928" id="docshape3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Heather Macre explains new surprise billing law,” Arizona PBS, March 28,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224397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086pt;width:1.65pt;height:1.65pt;mso-position-horizontal-relative:page;mso-position-vertical-relative:paragraph;z-index:15741440" id="docshape40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“Outstanding Women in Business 2022: Get to know Heather Macre of </w:t>
      </w:r>
      <w:r>
        <w:rPr>
          <w:color w:val="6E6158"/>
        </w:rPr>
        <w:t>Fennemore,”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March 24, 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952" id="docshape4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“Introducing PBJ’s 2022 Outstanding Women in Business honorees, Part 2,” </w:t>
      </w:r>
      <w:r>
        <w:rPr>
          <w:color w:val="6E6158"/>
        </w:rPr>
        <w:t>The Phoenix Business Journal, February 15, 2022</w:t>
      </w:r>
    </w:p>
    <w:p>
      <w:pPr>
        <w:pStyle w:val="BodyText"/>
        <w:spacing w:line="292" w:lineRule="auto" w:before="13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2464" id="docshape4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 “OSHA Issues Emergency Temporary Standard for Health Care Employers,”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Fennemore Client Alert, July 8, 2021</w:t>
        </w:r>
      </w:hyperlink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976" id="docshape4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“Arizona Enacts COVID-19 Liability Protections for Health Professionals,”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Client Alert, April 22, 2021</w:t>
        </w:r>
      </w:hyperlink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142987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96pt;width:1.65pt;height:1.65pt;mso-position-horizontal-relative:page;mso-position-vertical-relative:paragraph;z-index:15743488" id="docshape4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Interview,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“Always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Changing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–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Always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Evolving,”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170242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4939pt;width:1.65pt;height:1.65pt;mso-position-horizontal-relative:page;mso-position-vertical-relative:paragraph;z-index:15744000" id="docshape45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“Women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Know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+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With,”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KNOW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17,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line="408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173924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4807pt;width:1.65pt;height:1.65pt;mso-position-horizontal-relative:page;mso-position-vertical-relative:paragraph;z-index:15744512" id="docshape46" coordorigin="1670,274" coordsize="33,33" path="m1691,306l1682,306,1678,305,1671,299,1670,295,1670,286,1671,282,1678,275,1682,274,1691,274,1694,275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432289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857pt;width:1.65pt;height:1.65pt;mso-position-horizontal-relative:page;mso-position-vertical-relative:paragraph;z-index:15745024" id="docshape47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Quoted, “Let’s Celebrate Random Acts of Kindness Day,” Fennemore Blog, February 18, 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“Making</w:t>
      </w:r>
      <w:r>
        <w:rPr>
          <w:color w:val="6E6158"/>
          <w:spacing w:val="8"/>
        </w:rPr>
        <w:t> </w:t>
      </w:r>
      <w:r>
        <w:rPr>
          <w:color w:val="6E6158"/>
        </w:rPr>
        <w:t>Sense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It</w:t>
      </w:r>
      <w:r>
        <w:rPr>
          <w:color w:val="6E6158"/>
          <w:spacing w:val="8"/>
        </w:rPr>
        <w:t> </w:t>
      </w:r>
      <w:r>
        <w:rPr>
          <w:color w:val="6E6158"/>
        </w:rPr>
        <w:t>All:</w:t>
      </w:r>
      <w:r>
        <w:rPr>
          <w:color w:val="6E6158"/>
          <w:spacing w:val="9"/>
        </w:rPr>
        <w:t> </w:t>
      </w:r>
      <w:r>
        <w:rPr>
          <w:color w:val="6E6158"/>
        </w:rPr>
        <w:t>Business,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COVID-19,”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February</w:t>
      </w:r>
      <w:r>
        <w:rPr>
          <w:color w:val="6E6158"/>
          <w:spacing w:val="8"/>
        </w:rPr>
        <w:t> </w:t>
      </w:r>
      <w:r>
        <w:rPr>
          <w:color w:val="6E6158"/>
        </w:rPr>
        <w:t>1,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9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158262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61621pt;width:1.65pt;height:1.65pt;mso-position-horizontal-relative:page;mso-position-vertical-relative:paragraph;z-index:15745536" id="docshape48" coordorigin="1670,249" coordsize="33,33" path="m1691,282l1682,282,1678,280,1671,274,1670,270,1670,261,1671,257,1678,251,1682,249,1691,249,1694,251,1701,257,1702,261,1702,266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“Ducey extends protections for healthcare workers, long-term care </w:t>
      </w:r>
      <w:r>
        <w:rPr>
          <w:color w:val="6E6158"/>
        </w:rPr>
        <w:t>questions remain,” ABC 15 Arizona, January 4, 2021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142987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23pt;width:1.65pt;height:1.65pt;mso-position-horizontal-relative:page;mso-position-vertical-relative:paragraph;z-index:15746048" id="docshape4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Author,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“Top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10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Tips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for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Physician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Employment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Contracts,”</w:t>
        </w:r>
      </w:hyperlink>
      <w:r>
        <w:rPr>
          <w:color w:val="FF8100"/>
          <w:spacing w:val="7"/>
        </w:rPr>
        <w:t> </w:t>
      </w:r>
      <w:hyperlink r:id="rId17">
        <w:r>
          <w:rPr>
            <w:i/>
            <w:color w:val="FF8100"/>
            <w:sz w:val="20"/>
          </w:rPr>
          <w:t>Arizona</w:t>
        </w:r>
        <w:r>
          <w:rPr>
            <w:i/>
            <w:color w:val="FF8100"/>
            <w:spacing w:val="3"/>
            <w:sz w:val="20"/>
          </w:rPr>
          <w:t> </w:t>
        </w:r>
        <w:r>
          <w:rPr>
            <w:i/>
            <w:color w:val="FF8100"/>
            <w:sz w:val="20"/>
          </w:rPr>
          <w:t>Pulse</w:t>
        </w:r>
      </w:hyperlink>
      <w:hyperlink r:id="rId17">
        <w:r>
          <w:rPr>
            <w:color w:val="FF8100"/>
          </w:rPr>
          <w:t>,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November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17,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0" w:lineRule="auto" w:before="17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266896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5491pt;width:1.65pt;height:1.65pt;mso-position-horizontal-relative:page;mso-position-vertical-relative:paragraph;z-index:15746560" id="docshape50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“Common Misconceptions About HIPAA Can Threaten Patient Safety, Quality </w:t>
      </w:r>
      <w:r>
        <w:rPr>
          <w:color w:val="6E6158"/>
        </w:rPr>
        <w:t>of Care,” </w:t>
      </w:r>
      <w:r>
        <w:rPr>
          <w:i/>
          <w:color w:val="6E6158"/>
          <w:sz w:val="20"/>
        </w:rPr>
        <w:t>Relias Media, </w:t>
      </w:r>
      <w:r>
        <w:rPr>
          <w:color w:val="6E6158"/>
        </w:rPr>
        <w:t>September 1, 2020</w:t>
      </w:r>
    </w:p>
    <w:p>
      <w:pPr>
        <w:pStyle w:val="BodyText"/>
        <w:spacing w:line="292" w:lineRule="auto" w:before="121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229497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70704pt;width:1.65pt;height:1.65pt;mso-position-horizontal-relative:page;mso-position-vertical-relative:paragraph;z-index:15747072" id="docshape51" coordorigin="1670,361" coordsize="33,33" path="m1691,394l1682,394,1678,392,1671,386,1670,382,1670,373,1671,369,1678,363,1682,361,1691,361,1694,363,1701,369,1702,373,1702,378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Co-author, “So Who Exactly is Making Decisions Concerning the Elder Care </w:t>
        </w:r>
        <w:r>
          <w:rPr>
            <w:color w:val="FF8100"/>
          </w:rPr>
          <w:t>Industry?”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Fennemore Client Alert, August 20, 2020</w:t>
        </w:r>
      </w:hyperlink>
    </w:p>
    <w:p>
      <w:pPr>
        <w:pStyle w:val="BodyText"/>
        <w:spacing w:line="292" w:lineRule="auto" w:before="132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236112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551pt;width:1.65pt;height:1.65pt;mso-position-horizontal-relative:page;mso-position-vertical-relative:paragraph;z-index:15747584" id="docshape5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Co-author, “When Can We See Grandma? Regulations Governing Visits to Senior Living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Facilities,” Fennemore Client Alert, July 27, 2020</w:t>
        </w:r>
      </w:hyperlink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142730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591pt;width:1.65pt;height:1.65pt;mso-position-horizontal-relative:page;mso-position-vertical-relative:paragraph;z-index:15748096" id="docshape5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“How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Comply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10"/>
        </w:rPr>
        <w:t> </w:t>
      </w:r>
      <w:r>
        <w:rPr>
          <w:color w:val="6E6158"/>
        </w:rPr>
        <w:t>Healthcare</w:t>
      </w:r>
      <w:r>
        <w:rPr>
          <w:color w:val="6E6158"/>
          <w:spacing w:val="9"/>
        </w:rPr>
        <w:t> </w:t>
      </w:r>
      <w:r>
        <w:rPr>
          <w:color w:val="6E6158"/>
        </w:rPr>
        <w:t>Interoperability</w:t>
      </w:r>
      <w:r>
        <w:rPr>
          <w:color w:val="6E6158"/>
          <w:spacing w:val="10"/>
        </w:rPr>
        <w:t> </w:t>
      </w:r>
      <w:r>
        <w:rPr>
          <w:color w:val="6E6158"/>
        </w:rPr>
        <w:t>Rules,”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Altexsoft,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</w:rPr>
        <w:t>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7" w:lineRule="auto" w:before="161"/>
        <w:ind w:right="2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266641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5396pt;width:1.65pt;height:1.65pt;mso-position-horizontal-relative:page;mso-position-vertical-relative:paragraph;z-index:15748608" id="docshape54" coordorigin="1670,420" coordsize="33,33" path="m1691,452l1682,452,1678,451,1671,445,1670,441,1670,432,1671,428,1678,421,1682,420,1691,420,1694,421,1701,428,1702,432,1702,436,1702,441,1701,445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New CDC Guidelines Mean for Workplaces as They Reopen,” </w:t>
      </w:r>
      <w:r>
        <w:rPr>
          <w:i/>
          <w:color w:val="6E6158"/>
          <w:sz w:val="20"/>
        </w:rPr>
        <w:t>Healthline</w:t>
      </w:r>
      <w:r>
        <w:rPr>
          <w:color w:val="6E6158"/>
        </w:rPr>
        <w:t>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</w:rPr>
        <w:t>2, 2020</w:t>
      </w:r>
    </w:p>
    <w:p>
      <w:pPr>
        <w:pStyle w:val="BodyText"/>
        <w:spacing w:line="292" w:lineRule="auto" w:before="117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227116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8316pt;width:1.65pt;height:1.65pt;mso-position-horizontal-relative:page;mso-position-vertical-relative:paragraph;z-index:15749120" id="docshape55" coordorigin="1670,358" coordsize="33,33" path="m1691,390l1682,390,1678,389,1671,382,1670,378,1670,369,1671,366,1678,359,1682,358,1691,358,1694,359,1701,366,1702,369,1702,374,1702,378,1701,382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“Elderly patients with COVID-19 allowed to return to nursing homes with </w:t>
      </w:r>
      <w:r>
        <w:rPr>
          <w:color w:val="6E6158"/>
        </w:rPr>
        <w:t>guidelines,”</w:t>
      </w:r>
      <w:r>
        <w:rPr>
          <w:color w:val="6E6158"/>
          <w:spacing w:val="40"/>
        </w:rPr>
        <w:t> </w:t>
      </w:r>
      <w:r>
        <w:rPr>
          <w:color w:val="6E6158"/>
        </w:rPr>
        <w:t>ABC 15 Arizona, May 26, 2020</w:t>
      </w:r>
    </w:p>
    <w:p>
      <w:pPr>
        <w:pStyle w:val="BodyText"/>
        <w:spacing w:line="285" w:lineRule="auto" w:before="114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236271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038pt;width:1.65pt;height:1.65pt;mso-position-horizontal-relative:page;mso-position-vertical-relative:paragraph;z-index:15749632" id="docshape5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“New regulations require reporting of COVID-19 cases in nursing homes,” </w:t>
      </w:r>
      <w:r>
        <w:rPr>
          <w:i/>
          <w:color w:val="6E6158"/>
          <w:sz w:val="20"/>
        </w:rPr>
        <w:t>Tucson</w:t>
      </w:r>
      <w:r>
        <w:rPr>
          <w:i/>
          <w:color w:val="6E6158"/>
          <w:sz w:val="20"/>
        </w:rPr>
        <w:t> Local Media</w:t>
      </w:r>
      <w:r>
        <w:rPr>
          <w:color w:val="6E6158"/>
        </w:rPr>
        <w:t>, May 20, 2020</w:t>
      </w:r>
    </w:p>
    <w:p>
      <w:pPr>
        <w:pStyle w:val="BodyText"/>
        <w:spacing w:line="292" w:lineRule="auto" w:before="126"/>
        <w:ind w:right="1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232510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07878pt;width:1.65pt;height:1.65pt;mso-position-horizontal-relative:page;mso-position-vertical-relative:paragraph;z-index:15750144" id="docshape57" coordorigin="1670,366" coordsize="33,33" path="m1691,399l1682,399,1678,397,1671,391,1670,387,1670,378,1671,374,1678,368,1682,366,1691,366,1694,368,1701,374,1702,378,1702,382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Co-author, “Limitations to Assisted Living and Nursing Home Liability in the Wake of COVID-19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and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Best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Practices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Avoid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Defend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Against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Claims,”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5,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2020</w:t>
        </w:r>
      </w:hyperlink>
    </w:p>
    <w:p>
      <w:pPr>
        <w:pStyle w:val="BodyText"/>
        <w:spacing w:line="285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235950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779pt;width:1.65pt;height:1.65pt;mso-position-horizontal-relative:page;mso-position-vertical-relative:paragraph;z-index:15750656" id="docshape5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F8100"/>
          </w:rPr>
          <w:t>Co-author, “Recent Actions that Impact the Nursing and Assisted Living Industry,”</w:t>
        </w:r>
      </w:hyperlink>
      <w:r>
        <w:rPr>
          <w:color w:val="FF8100"/>
        </w:rPr>
        <w:t> </w:t>
      </w:r>
      <w:hyperlink r:id="rId21">
        <w:r>
          <w:rPr>
            <w:i/>
            <w:color w:val="FF8100"/>
            <w:sz w:val="20"/>
          </w:rPr>
          <w:t>Attorney </w:t>
        </w:r>
        <w:r>
          <w:rPr>
            <w:i/>
            <w:color w:val="FF8100"/>
            <w:sz w:val="20"/>
          </w:rPr>
          <w:t>at</w:t>
        </w:r>
      </w:hyperlink>
      <w:r>
        <w:rPr>
          <w:i/>
          <w:color w:val="FF8100"/>
          <w:sz w:val="20"/>
        </w:rPr>
        <w:t> </w:t>
      </w:r>
      <w:hyperlink r:id="rId21">
        <w:r>
          <w:rPr>
            <w:i/>
            <w:color w:val="FF8100"/>
            <w:sz w:val="20"/>
          </w:rPr>
          <w:t>Law,</w:t>
        </w:r>
      </w:hyperlink>
      <w:r>
        <w:rPr>
          <w:i/>
          <w:color w:val="FF8100"/>
          <w:sz w:val="20"/>
        </w:rPr>
        <w:t> </w:t>
      </w:r>
      <w:hyperlink r:id="rId21">
        <w:r>
          <w:rPr>
            <w:color w:val="FF8100"/>
          </w:rPr>
          <w:t>April 23, 2020</w:t>
        </w:r>
      </w:hyperlink>
    </w:p>
    <w:p>
      <w:pPr>
        <w:pStyle w:val="BodyText"/>
        <w:spacing w:before="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144980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15772pt;width:1.65pt;height:1.65pt;mso-position-horizontal-relative:page;mso-position-vertical-relative:paragraph;z-index:15751168" id="docshape59" coordorigin="1670,228" coordsize="33,33" path="m1691,261l1682,261,1678,259,1671,253,1670,249,1670,240,1671,236,1678,230,1682,228,1691,228,1694,230,1701,236,1702,240,1702,245,1702,249,1701,253,1694,259,1691,2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8100"/>
        </w:rPr>
        <w:t>Interview,</w:t>
      </w:r>
      <w:r>
        <w:rPr>
          <w:color w:val="FF8100"/>
          <w:spacing w:val="9"/>
        </w:rPr>
        <w:t> </w:t>
      </w:r>
      <w:r>
        <w:rPr>
          <w:color w:val="FF8100"/>
        </w:rPr>
        <w:t>“COVID-19</w:t>
      </w:r>
      <w:r>
        <w:rPr>
          <w:color w:val="FF8100"/>
          <w:spacing w:val="10"/>
        </w:rPr>
        <w:t> </w:t>
      </w:r>
      <w:r>
        <w:rPr>
          <w:color w:val="FF8100"/>
        </w:rPr>
        <w:t>in</w:t>
      </w:r>
      <w:r>
        <w:rPr>
          <w:color w:val="FF8100"/>
          <w:spacing w:val="10"/>
        </w:rPr>
        <w:t> </w:t>
      </w:r>
      <w:r>
        <w:rPr>
          <w:color w:val="FF8100"/>
        </w:rPr>
        <w:t>Valley</w:t>
      </w:r>
      <w:r>
        <w:rPr>
          <w:color w:val="FF8100"/>
          <w:spacing w:val="10"/>
        </w:rPr>
        <w:t> </w:t>
      </w:r>
      <w:r>
        <w:rPr>
          <w:color w:val="FF8100"/>
        </w:rPr>
        <w:t>Care</w:t>
      </w:r>
      <w:r>
        <w:rPr>
          <w:color w:val="FF8100"/>
          <w:spacing w:val="10"/>
        </w:rPr>
        <w:t> </w:t>
      </w:r>
      <w:r>
        <w:rPr>
          <w:color w:val="FF8100"/>
        </w:rPr>
        <w:t>Facilities,”</w:t>
      </w:r>
      <w:r>
        <w:rPr>
          <w:color w:val="FF8100"/>
          <w:spacing w:val="10"/>
        </w:rPr>
        <w:t> </w:t>
      </w:r>
      <w:r>
        <w:rPr>
          <w:color w:val="FF8100"/>
        </w:rPr>
        <w:t>ABC</w:t>
      </w:r>
      <w:r>
        <w:rPr>
          <w:color w:val="FF8100"/>
          <w:spacing w:val="10"/>
        </w:rPr>
        <w:t> </w:t>
      </w:r>
      <w:r>
        <w:rPr>
          <w:color w:val="FF8100"/>
        </w:rPr>
        <w:t>15</w:t>
      </w:r>
      <w:r>
        <w:rPr>
          <w:color w:val="FF8100"/>
          <w:spacing w:val="10"/>
        </w:rPr>
        <w:t> </w:t>
      </w:r>
      <w:r>
        <w:rPr>
          <w:color w:val="FF8100"/>
        </w:rPr>
        <w:t>Arizona,</w:t>
      </w:r>
      <w:r>
        <w:rPr>
          <w:color w:val="FF8100"/>
          <w:spacing w:val="10"/>
        </w:rPr>
        <w:t> </w:t>
      </w:r>
      <w:r>
        <w:rPr>
          <w:color w:val="FF8100"/>
        </w:rPr>
        <w:t>April</w:t>
      </w:r>
      <w:r>
        <w:rPr>
          <w:color w:val="FF8100"/>
          <w:spacing w:val="10"/>
        </w:rPr>
        <w:t> </w:t>
      </w:r>
      <w:r>
        <w:rPr>
          <w:color w:val="FF8100"/>
        </w:rPr>
        <w:t>22,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2020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268420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5506pt;width:1.65pt;height:1.65pt;mso-position-horizontal-relative:page;mso-position-vertical-relative:paragraph;z-index:15751680" id="docshape6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“Family Calls for Regular Tests at Chandler Nursing Home that had 13 </w:t>
      </w:r>
      <w:r>
        <w:rPr>
          <w:color w:val="6E6158"/>
        </w:rPr>
        <w:t>Coronavirus Deaths,” AZFamily.com, April 22, 2020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224380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721pt;width:1.65pt;height:1.65pt;mso-position-horizontal-relative:page;mso-position-vertical-relative:paragraph;z-index:15752192" id="docshape6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Co-author, “Recent Actions that Impact the Nursing and Assisted Living Industry,”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Client Alert, April 21, 2020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143061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71pt;width:1.65pt;height:1.65pt;mso-position-horizontal-relative:page;mso-position-vertical-relative:paragraph;z-index:15752704" id="docshape6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“Watch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for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COVID-19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Scams!”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Craig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2"/>
          </w:rPr>
          <w:t>13,2020</w:t>
        </w:r>
      </w:hyperlink>
    </w:p>
    <w:p>
      <w:pPr>
        <w:pStyle w:val="BodyText"/>
        <w:spacing w:line="283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268409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613pt;width:1.65pt;height:1.65pt;mso-position-horizontal-relative:page;mso-position-vertical-relative:paragraph;z-index:15753216" id="docshape63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“Billing telehealth under COVID-19 rules? Use POS 02, document need, watch </w:t>
      </w:r>
      <w:r>
        <w:rPr>
          <w:color w:val="6E6158"/>
        </w:rPr>
        <w:t>payer</w:t>
      </w:r>
      <w:r>
        <w:rPr>
          <w:color w:val="6E6158"/>
          <w:spacing w:val="40"/>
        </w:rPr>
        <w:t> </w:t>
      </w:r>
      <w:r>
        <w:rPr>
          <w:color w:val="6E6158"/>
        </w:rPr>
        <w:t>shifts,” </w:t>
      </w:r>
      <w:r>
        <w:rPr>
          <w:i/>
          <w:color w:val="6E6158"/>
          <w:sz w:val="20"/>
        </w:rPr>
        <w:t>Part B News, </w:t>
      </w:r>
      <w:r>
        <w:rPr>
          <w:color w:val="6E6158"/>
        </w:rPr>
        <w:t>March 30, 2020</w:t>
      </w:r>
    </w:p>
    <w:p>
      <w:pPr>
        <w:pStyle w:val="BodyText"/>
        <w:spacing w:line="292" w:lineRule="auto" w:before="128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233766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06836pt;width:1.65pt;height:1.65pt;mso-position-horizontal-relative:page;mso-position-vertical-relative:paragraph;z-index:15753728" id="docshape64" coordorigin="1670,368" coordsize="33,33" path="m1691,401l1682,401,1678,399,1671,393,1670,389,1670,380,1671,376,1678,370,1682,368,1691,368,1694,370,1701,376,1702,380,1702,384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Alert, March 26, 2020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4240" id="docshape6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">
        <w:r>
          <w:rPr>
            <w:color w:val="FF8100"/>
          </w:rPr>
          <w:t>Author, “Regulations Relaxed to Allow Increased Telehealth Usage During COVID-</w:t>
        </w:r>
        <w:r>
          <w:rPr>
            <w:color w:val="FF8100"/>
          </w:rPr>
          <w:t>19</w:t>
        </w:r>
      </w:hyperlink>
      <w:r>
        <w:rPr>
          <w:color w:val="FF8100"/>
        </w:rPr>
        <w:t> </w:t>
      </w:r>
      <w:hyperlink r:id="rId25">
        <w:r>
          <w:rPr>
            <w:color w:val="FF8100"/>
          </w:rPr>
          <w:t>Outbreak,” Fennemore Client Alert, March 20, 2020</w:t>
        </w:r>
      </w:hyperlink>
    </w:p>
    <w:p>
      <w:pPr>
        <w:spacing w:before="12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4752" id="docshape6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F8100"/>
            <w:sz w:val="19"/>
          </w:rPr>
          <w:t>Author,</w:t>
        </w:r>
        <w:r>
          <w:rPr>
            <w:color w:val="FF8100"/>
            <w:spacing w:val="-4"/>
            <w:sz w:val="19"/>
          </w:rPr>
          <w:t> </w:t>
        </w:r>
        <w:r>
          <w:rPr>
            <w:color w:val="FF8100"/>
            <w:sz w:val="19"/>
          </w:rPr>
          <w:t>“Coding</w:t>
        </w:r>
        <w:r>
          <w:rPr>
            <w:color w:val="FF8100"/>
            <w:spacing w:val="-3"/>
            <w:sz w:val="19"/>
          </w:rPr>
          <w:t> </w:t>
        </w:r>
        <w:r>
          <w:rPr>
            <w:color w:val="FF8100"/>
            <w:sz w:val="19"/>
          </w:rPr>
          <w:t>COVID-19,”</w:t>
        </w:r>
      </w:hyperlink>
      <w:r>
        <w:rPr>
          <w:color w:val="FF8100"/>
          <w:spacing w:val="-4"/>
          <w:sz w:val="19"/>
        </w:rPr>
        <w:t> </w:t>
      </w:r>
      <w:hyperlink r:id="rId26">
        <w:r>
          <w:rPr>
            <w:i/>
            <w:color w:val="FF8100"/>
            <w:sz w:val="20"/>
          </w:rPr>
          <w:t>Arizona</w:t>
        </w:r>
        <w:r>
          <w:rPr>
            <w:i/>
            <w:color w:val="FF8100"/>
            <w:spacing w:val="-6"/>
            <w:sz w:val="20"/>
          </w:rPr>
          <w:t> </w:t>
        </w:r>
        <w:r>
          <w:rPr>
            <w:i/>
            <w:color w:val="FF8100"/>
            <w:sz w:val="20"/>
          </w:rPr>
          <w:t>Medical</w:t>
        </w:r>
        <w:r>
          <w:rPr>
            <w:i/>
            <w:color w:val="FF8100"/>
            <w:spacing w:val="-7"/>
            <w:sz w:val="20"/>
          </w:rPr>
          <w:t> </w:t>
        </w:r>
        <w:r>
          <w:rPr>
            <w:i/>
            <w:color w:val="FF8100"/>
            <w:sz w:val="20"/>
          </w:rPr>
          <w:t>Association,</w:t>
        </w:r>
      </w:hyperlink>
      <w:r>
        <w:rPr>
          <w:i/>
          <w:color w:val="FF8100"/>
          <w:spacing w:val="-6"/>
          <w:sz w:val="20"/>
        </w:rPr>
        <w:t> </w:t>
      </w:r>
      <w:hyperlink r:id="rId26">
        <w:r>
          <w:rPr>
            <w:color w:val="FF8100"/>
            <w:sz w:val="19"/>
          </w:rPr>
          <w:t>March</w:t>
        </w:r>
        <w:r>
          <w:rPr>
            <w:color w:val="FF8100"/>
            <w:spacing w:val="-4"/>
            <w:sz w:val="19"/>
          </w:rPr>
          <w:t> </w:t>
        </w:r>
        <w:r>
          <w:rPr>
            <w:color w:val="FF8100"/>
            <w:sz w:val="19"/>
          </w:rPr>
          <w:t>12,</w:t>
        </w:r>
        <w:r>
          <w:rPr>
            <w:color w:val="FF8100"/>
            <w:spacing w:val="-3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BodyText"/>
        <w:spacing w:line="292" w:lineRule="auto" w:before="171"/>
        <w:ind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261373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0595pt;width:1.65pt;height:1.65pt;mso-position-horizontal-relative:page;mso-position-vertical-relative:paragraph;z-index:15755264" id="docshape67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Author, “HHS Releases Final Interoperability Rules Intended to Give Patients Direct Access </w:t>
        </w:r>
        <w:r>
          <w:rPr>
            <w:color w:val="FF8100"/>
          </w:rPr>
          <w:t>to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Health Data,” Fennemore Client Alert, March 12, 2020</w:t>
        </w:r>
      </w:hyperlink>
    </w:p>
    <w:p>
      <w:pPr>
        <w:spacing w:line="408" w:lineRule="auto" w:before="124"/>
        <w:ind w:left="351" w:right="2538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143228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798pt;width:1.65pt;height:1.65pt;mso-position-horizontal-relative:page;mso-position-vertical-relative:paragraph;z-index:15755776" id="docshape68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401593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1548pt;width:1.65pt;height:1.65pt;mso-position-horizontal-relative:page;mso-position-vertical-relative:paragraph;z-index:15756288" id="docshape69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659959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65294pt;width:1.65pt;height:1.65pt;mso-position-horizontal-relative:page;mso-position-vertical-relative:paragraph;z-index:15756800" id="docshape70" coordorigin="1670,1039" coordsize="33,33" path="m1691,1072l1682,1072,1678,1070,1671,1064,1670,1060,1670,1051,1671,1047,1678,1041,1682,1039,1691,1039,1694,1041,1701,1047,1702,1051,1702,1056,1702,1060,1701,1064,1694,1070,1691,10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  <w:sz w:val="19"/>
          </w:rPr>
          <w:t>Author, “Coding COVID-19,” Fennemore Client Alert, March 10, </w:t>
        </w:r>
        <w:r>
          <w:rPr>
            <w:color w:val="FF8100"/>
            <w:sz w:val="19"/>
          </w:rPr>
          <w:t>2020</w:t>
        </w:r>
      </w:hyperlink>
      <w:r>
        <w:rPr>
          <w:color w:val="FF8100"/>
          <w:sz w:val="19"/>
        </w:rPr>
        <w:t> </w:t>
      </w:r>
      <w:r>
        <w:rPr>
          <w:color w:val="6E6158"/>
          <w:sz w:val="19"/>
        </w:rPr>
        <w:t>Author, “Running afoul of Stark,” </w:t>
      </w:r>
      <w:r>
        <w:rPr>
          <w:i/>
          <w:color w:val="6E6158"/>
          <w:sz w:val="20"/>
        </w:rPr>
        <w:t>Part B News, </w:t>
      </w:r>
      <w:r>
        <w:rPr>
          <w:color w:val="6E6158"/>
          <w:sz w:val="19"/>
        </w:rPr>
        <w:t>January 20, 2020 </w:t>
      </w:r>
      <w:r>
        <w:rPr>
          <w:i/>
          <w:color w:val="6E6158"/>
          <w:sz w:val="20"/>
        </w:rPr>
        <w:t>Journal of Law and Public Policy</w:t>
      </w:r>
    </w:p>
    <w:p>
      <w:pPr>
        <w:spacing w:line="234" w:lineRule="exact"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63859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284pt;width:1.65pt;height:1.65pt;mso-position-horizontal-relative:page;mso-position-vertical-relative:paragraph;z-index:15757312" id="docshape7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Journal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Technology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Policy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158073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729pt;width:1.65pt;height:1.65pt;mso-position-horizontal-relative:page;mso-position-vertical-relative:paragraph;z-index:15757824" id="docshape72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416438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462pt;width:1.65pt;height:1.65pt;mso-position-horizontal-relative:page;mso-position-vertical-relative:paragraph;z-index:15758336" id="docshape73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Elected Director, Central Arizona Water Conservation District Board of Directors, 2012 – present Member, Phoenix Suns Charities 88</w:t>
      </w:r>
    </w:p>
    <w:p>
      <w:pPr>
        <w:pStyle w:val="BodyText"/>
        <w:spacing w:line="420" w:lineRule="auto"/>
        <w:ind w:right="4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60010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5257pt;width:1.65pt;height:1.65pt;mso-position-horizontal-relative:page;mso-position-vertical-relative:paragraph;z-index:15758848" id="docshape74" coordorigin="1670,95" coordsize="33,33" path="m1691,127l1682,127,1678,125,1671,119,1670,115,1670,106,1671,102,1678,96,1682,95,1691,95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318376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9008pt;width:1.65pt;height:1.65pt;mso-position-horizontal-relative:page;mso-position-vertical-relative:paragraph;z-index:15759360" id="docshape75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Bankruptcy Inn of </w:t>
      </w:r>
      <w:r>
        <w:rPr>
          <w:color w:val="6E6158"/>
        </w:rPr>
        <w:t>Court Member, Arizona Charter 100</w:t>
      </w:r>
    </w:p>
    <w:p>
      <w:pPr>
        <w:pStyle w:val="Heading1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152928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647pt;width:1.65pt;height:1.65pt;mso-position-horizontal-relative:page;mso-position-vertical-relative:paragraph;z-index:15759872" id="docshape76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hmacre@fennemorelaw.com" TargetMode="External"/><Relationship Id="rId11" Type="http://schemas.openxmlformats.org/officeDocument/2006/relationships/hyperlink" Target="https://azbigmedia.com/business/health-care/here-is-whos-who-in-arizona-healthcare-for-2025/" TargetMode="External"/><Relationship Id="rId12" Type="http://schemas.openxmlformats.org/officeDocument/2006/relationships/hyperlink" Target="https://azbigmedia.com/business/health-care/whos-who-in-arizona-healthcare-for-2024/" TargetMode="External"/><Relationship Id="rId13" Type="http://schemas.openxmlformats.org/officeDocument/2006/relationships/hyperlink" Target="https://www.fennemorelaw.com/insights/newsletters/2021/osha-issues-emergency-temporary-standard-for-health-care-employers" TargetMode="External"/><Relationship Id="rId14" Type="http://schemas.openxmlformats.org/officeDocument/2006/relationships/hyperlink" Target="https://www.fennemorelaw.com/insights/newsletters/2021/arizona-enacts-covid-19-liability-protections-for-health-professionals" TargetMode="External"/><Relationship Id="rId15" Type="http://schemas.openxmlformats.org/officeDocument/2006/relationships/hyperlink" Target="https://www.fennemorelaw.com/insights/blogs/2021/always-changing-always-evolving" TargetMode="External"/><Relationship Id="rId16" Type="http://schemas.openxmlformats.org/officeDocument/2006/relationships/hyperlink" Target="https://www.fennemorelaw.com/insights/blogs/2021/let-s-celebrate-random-acts-of-kindness-day" TargetMode="External"/><Relationship Id="rId17" Type="http://schemas.openxmlformats.org/officeDocument/2006/relationships/hyperlink" Target="https://www.azpulse.org/top-10-tips-for-physician-employment-contracts/" TargetMode="External"/><Relationship Id="rId18" Type="http://schemas.openxmlformats.org/officeDocument/2006/relationships/hyperlink" Target="https://www.fennemorelaw.com/insights/newsletters/2020/so-who-exactly-is-making-decisions-concerning-the-elder-care-industry-" TargetMode="External"/><Relationship Id="rId19" Type="http://schemas.openxmlformats.org/officeDocument/2006/relationships/hyperlink" Target="https://www.fennemorelaw.com/insights/newsletters/2020/when-can-we-see-grandma-regulations-governing-visits-to-senior-living-facilities" TargetMode="External"/><Relationship Id="rId20" Type="http://schemas.openxmlformats.org/officeDocument/2006/relationships/hyperlink" Target="https://www.fennemorelaw.com/insights/newsletters/2020/limitations-to-assisted-living-and-nursing-home-liability-in-the-wake-of-covid-19-and-best-practices-to-avoid-and-defend-against-claims" TargetMode="External"/><Relationship Id="rId21" Type="http://schemas.openxmlformats.org/officeDocument/2006/relationships/hyperlink" Target="https://attorneyatlawmagazine.com/recent-actions-that-impact-the-nursing-and-assisted-living-industry" TargetMode="External"/><Relationship Id="rId22" Type="http://schemas.openxmlformats.org/officeDocument/2006/relationships/hyperlink" Target="https://www.fennemorelaw.com/insights/newsletters/2020/recent-actions-that-impact-the-nursing-and-assisted-living-industry" TargetMode="External"/><Relationship Id="rId23" Type="http://schemas.openxmlformats.org/officeDocument/2006/relationships/hyperlink" Target="https://www.fennemorelaw.com/insights/newsletters/2020/watch-for-covid-19-scams-" TargetMode="External"/><Relationship Id="rId24" Type="http://schemas.openxmlformats.org/officeDocument/2006/relationships/hyperlink" Target="https://www.fennemorelaw.com/insights/newsletters/2020/covid-19-health-plan-coverage-for-furloughed-employees" TargetMode="External"/><Relationship Id="rId25" Type="http://schemas.openxmlformats.org/officeDocument/2006/relationships/hyperlink" Target="https://www.fennemorelaw.com/insights/newsletters/2020/regulations-relaxed-to-allow-increased-telehealth-usage-during-covid-19-outbreak" TargetMode="External"/><Relationship Id="rId26" Type="http://schemas.openxmlformats.org/officeDocument/2006/relationships/hyperlink" Target="https://www.azmed.org/news/493275/Coding-for-COVID-19.htm" TargetMode="External"/><Relationship Id="rId27" Type="http://schemas.openxmlformats.org/officeDocument/2006/relationships/hyperlink" Target="https://www.fennemorelaw.com/insights/newsletters/2020/hhs-releases-final-interoperability-rules-intended-to-give-patients-direct-access-to-health-data" TargetMode="External"/><Relationship Id="rId28" Type="http://schemas.openxmlformats.org/officeDocument/2006/relationships/hyperlink" Target="https://www.fennemorelaw.com/insights/newsletters/2020/coding-covid-201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Heather Macre - Fennemore</dc:title>
  <dcterms:created xsi:type="dcterms:W3CDTF">2026-04-18T22:33:06Z</dcterms:created>
  <dcterms:modified xsi:type="dcterms:W3CDTF">2026-04-18T22:33:06Z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