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eith Smith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04958" y="1369338"/>
                            <a:ext cx="17005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0530" h="320675">
                                <a:moveTo>
                                  <a:pt x="170004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00047" y="320382"/>
                                </a:lnTo>
                                <a:lnTo>
                                  <a:pt x="1700047" y="315214"/>
                                </a:lnTo>
                                <a:close/>
                              </a:path>
                              <a:path w="1700530" h="320675">
                                <a:moveTo>
                                  <a:pt x="170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00047" y="5168"/>
                                </a:lnTo>
                                <a:lnTo>
                                  <a:pt x="170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KEITH 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SMITH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863.315.3280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kcsmith@fennemorelaw.com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eith Smith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834;top:2156;width:2678;height:505" id="docshape5" coordorigin="5835,2156" coordsize="2678,505" path="m8512,2653l5835,2653,5835,2661,8512,2661,8512,2653xm8512,2156l5835,2156,5835,2165,8512,2165,8512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KEITH 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SMITH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863.315.3280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kcsmith@fennemorelaw.com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KEITH</w:t>
      </w:r>
      <w:r>
        <w:rPr>
          <w:color w:val="FF8100"/>
          <w:spacing w:val="5"/>
        </w:rPr>
        <w:t> </w:t>
      </w:r>
      <w:r>
        <w:rPr>
          <w:color w:val="FF8100"/>
        </w:rPr>
        <w:t>C.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SMITH</w:t>
      </w:r>
    </w:p>
    <w:p>
      <w:pPr>
        <w:pStyle w:val="BodyText"/>
        <w:spacing w:line="297" w:lineRule="auto"/>
        <w:ind w:left="99" w:right="649"/>
      </w:pPr>
      <w:r>
        <w:rPr>
          <w:color w:val="6E6158"/>
        </w:rPr>
        <w:t>Keith Smith is a seasoned attorney in Fennemore’s real estate group, representing businesses and</w:t>
      </w:r>
      <w:r>
        <w:rPr>
          <w:color w:val="6E6158"/>
          <w:spacing w:val="40"/>
        </w:rPr>
        <w:t> </w:t>
      </w:r>
      <w:r>
        <w:rPr>
          <w:color w:val="6E6158"/>
        </w:rPr>
        <w:t>individuals in corporate law and commercial real estate matters. He advises clients on business</w:t>
      </w:r>
      <w:r>
        <w:rPr>
          <w:color w:val="6E6158"/>
          <w:spacing w:val="40"/>
        </w:rPr>
        <w:t> </w:t>
      </w:r>
      <w:r>
        <w:rPr>
          <w:color w:val="6E6158"/>
        </w:rPr>
        <w:t>formation, corporate governance, commercial transactions, and mergers and acquisitions,</w:t>
      </w:r>
      <w:r>
        <w:rPr>
          <w:color w:val="6E6158"/>
          <w:spacing w:val="80"/>
        </w:rPr>
        <w:t> </w:t>
      </w:r>
      <w:r>
        <w:rPr>
          <w:color w:val="6E6158"/>
        </w:rPr>
        <w:t>helping organizations structure and scale with confidence. Keith also serves as outside general</w:t>
      </w:r>
      <w:r>
        <w:rPr>
          <w:color w:val="6E6158"/>
          <w:spacing w:val="40"/>
        </w:rPr>
        <w:t> </w:t>
      </w:r>
      <w:r>
        <w:rPr>
          <w:color w:val="6E6158"/>
        </w:rPr>
        <w:t>counsel to a range of companies, providing ongoing strategic and legal guidance tailored to</w:t>
      </w:r>
      <w:r>
        <w:rPr>
          <w:color w:val="6E6158"/>
          <w:spacing w:val="40"/>
        </w:rPr>
        <w:t> </w:t>
      </w:r>
      <w:r>
        <w:rPr>
          <w:color w:val="6E6158"/>
        </w:rPr>
        <w:t>evolving business needs.</w:t>
      </w:r>
    </w:p>
    <w:p>
      <w:pPr>
        <w:pStyle w:val="BodyText"/>
        <w:spacing w:line="295" w:lineRule="auto" w:before="187"/>
        <w:ind w:left="99" w:right="753"/>
      </w:pPr>
      <w:r>
        <w:rPr>
          <w:color w:val="6E6158"/>
        </w:rPr>
        <w:t>With a background as Senior Attorney and Vice President at Citigroup, Keith brings valuable</w:t>
      </w:r>
      <w:r>
        <w:rPr>
          <w:color w:val="6E6158"/>
          <w:spacing w:val="40"/>
        </w:rPr>
        <w:t> </w:t>
      </w:r>
      <w:r>
        <w:rPr>
          <w:color w:val="6E6158"/>
        </w:rPr>
        <w:t>financial services and transactional insight to complex real estate and corporate matters. He</w:t>
      </w:r>
      <w:r>
        <w:rPr>
          <w:color w:val="6E6158"/>
          <w:spacing w:val="40"/>
        </w:rPr>
        <w:t> </w:t>
      </w:r>
      <w:r>
        <w:rPr>
          <w:color w:val="6E6158"/>
        </w:rPr>
        <w:t>supports clients across a wide range of real estate projects, including office buildings, commercial centers, industrial parks, apartment communities, and multi-family </w:t>
      </w:r>
      <w:r>
        <w:rPr>
          <w:color w:val="6E6158"/>
        </w:rPr>
        <w:t>developments.</w:t>
      </w:r>
      <w:r>
        <w:rPr>
          <w:color w:val="6E6158"/>
          <w:spacing w:val="40"/>
        </w:rPr>
        <w:t> </w:t>
      </w:r>
      <w:r>
        <w:rPr>
          <w:color w:val="6E6158"/>
        </w:rPr>
        <w:t>His work spans acquisitions, development, financing, and disposition, making him a trusted</w:t>
      </w:r>
      <w:r>
        <w:rPr>
          <w:color w:val="6E6158"/>
          <w:spacing w:val="40"/>
        </w:rPr>
        <w:t> </w:t>
      </w:r>
      <w:r>
        <w:rPr>
          <w:color w:val="6E6158"/>
        </w:rPr>
        <w:t>advisor for clients navigating the real estate market.</w:t>
      </w:r>
    </w:p>
    <w:p>
      <w:pPr>
        <w:pStyle w:val="BodyText"/>
        <w:spacing w:line="292" w:lineRule="auto" w:before="201"/>
        <w:ind w:left="99"/>
      </w:pPr>
      <w:r>
        <w:rPr>
          <w:color w:val="6E6158"/>
        </w:rPr>
        <w:t>Keith is widely recognized for his contributions to commercial real estate and his forward-looking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economic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public-private</w:t>
      </w:r>
      <w:r>
        <w:rPr>
          <w:color w:val="6E6158"/>
          <w:spacing w:val="40"/>
        </w:rPr>
        <w:t> </w:t>
      </w:r>
      <w:r>
        <w:rPr>
          <w:color w:val="6E6158"/>
        </w:rPr>
        <w:t>partnerships,</w:t>
      </w:r>
      <w:r>
        <w:rPr>
          <w:color w:val="6E6158"/>
          <w:spacing w:val="40"/>
        </w:rPr>
        <w:t> </w:t>
      </w:r>
      <w:r>
        <w:rPr>
          <w:color w:val="6E6158"/>
        </w:rPr>
        <w:t>particularly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Central</w:t>
      </w:r>
    </w:p>
    <w:p>
      <w:pPr>
        <w:pStyle w:val="BodyText"/>
        <w:spacing w:line="297" w:lineRule="auto" w:before="1"/>
        <w:ind w:left="99" w:right="649"/>
      </w:pPr>
      <w:r>
        <w:rPr>
          <w:color w:val="6E6158"/>
        </w:rPr>
        <w:t>Florida. He works closely with colleagues in banking and finance, real estate, and utilities to</w:t>
      </w:r>
      <w:r>
        <w:rPr>
          <w:color w:val="6E6158"/>
          <w:spacing w:val="40"/>
        </w:rPr>
        <w:t> </w:t>
      </w:r>
      <w:r>
        <w:rPr>
          <w:color w:val="6E6158"/>
        </w:rPr>
        <w:t>deliver coordinated legal strategies that align with clients’ business goals and long-term growth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plans.</w:t>
      </w:r>
    </w:p>
    <w:p>
      <w:pPr>
        <w:pStyle w:val="BodyText"/>
        <w:spacing w:line="295" w:lineRule="auto" w:before="192"/>
        <w:ind w:left="99" w:right="649"/>
      </w:pPr>
      <w:r>
        <w:rPr>
          <w:color w:val="6E6158"/>
        </w:rPr>
        <w:t>Earlier in his career, Keith served as a judicial clerk to the Honorable David Ross in the Maryland</w:t>
      </w:r>
      <w:r>
        <w:rPr>
          <w:color w:val="6E6158"/>
          <w:spacing w:val="40"/>
        </w:rPr>
        <w:t> </w:t>
      </w:r>
      <w:r>
        <w:rPr>
          <w:color w:val="6E6158"/>
        </w:rPr>
        <w:t>Circuit Court and practiced with law firms in both Maryland and Florida. He remains active in the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community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is</w:t>
      </w:r>
      <w:r>
        <w:rPr>
          <w:color w:val="6E6158"/>
          <w:spacing w:val="28"/>
        </w:rPr>
        <w:t> </w:t>
      </w:r>
      <w:r>
        <w:rPr>
          <w:color w:val="6E6158"/>
        </w:rPr>
        <w:t>frequently</w:t>
      </w:r>
      <w:r>
        <w:rPr>
          <w:color w:val="6E6158"/>
          <w:spacing w:val="28"/>
        </w:rPr>
        <w:t> </w:t>
      </w:r>
      <w:r>
        <w:rPr>
          <w:color w:val="6E6158"/>
        </w:rPr>
        <w:t>engaged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thought</w:t>
      </w:r>
      <w:r>
        <w:rPr>
          <w:color w:val="6E6158"/>
          <w:spacing w:val="28"/>
        </w:rPr>
        <w:t> </w:t>
      </w:r>
      <w:r>
        <w:rPr>
          <w:color w:val="6E6158"/>
        </w:rPr>
        <w:t>leader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issues</w:t>
      </w:r>
      <w:r>
        <w:rPr>
          <w:color w:val="6E6158"/>
          <w:spacing w:val="28"/>
        </w:rPr>
        <w:t> </w:t>
      </w:r>
      <w:r>
        <w:rPr>
          <w:color w:val="6E6158"/>
        </w:rPr>
        <w:t>related</w:t>
      </w:r>
      <w:r>
        <w:rPr>
          <w:color w:val="6E6158"/>
          <w:spacing w:val="28"/>
        </w:rPr>
        <w:t> </w:t>
      </w:r>
      <w:r>
        <w:rPr>
          <w:color w:val="6E6158"/>
        </w:rPr>
        <w:t>to corporate transactions, infrastructure development, and strategic expansion.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157986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886pt;width:1.65pt;height:1.65pt;mso-position-horizontal-relative:page;mso-position-vertical-relative:paragraph;z-index:15729152" id="docshape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Widener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173645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2887pt;width:1.65pt;height:1.65pt;mso-position-horizontal-relative:page;mso-position-vertical-relative:paragraph;z-index:15729664" id="docshape8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McDaniel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48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79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152424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1911pt;width:1.65pt;height:1.65pt;mso-position-horizontal-relative:page;mso-position-vertical-relative:paragraph;z-index:15730176" id="docshape9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415957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2575pt;width:1.65pt;height:1.65pt;mso-position-horizontal-relative:page;mso-position-vertical-relative:paragraph;z-index:15730688" id="docshape1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</w:t>
      </w:r>
      <w:r>
        <w:rPr>
          <w:color w:val="6E6158"/>
          <w:spacing w:val="-2"/>
        </w:rPr>
        <w:t>Agribusiness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2" w:lineRule="auto" w:before="83"/>
        <w:ind w:right="69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200" id="docshape1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712" id="docshape12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56pt;width:1.65pt;height:1.65pt;mso-position-horizontal-relative:page;mso-position-vertical-relative:paragraph;z-index:15732224" id="docshape13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892699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0.291306pt;width:1.65pt;height:1.65pt;mso-position-horizontal-relative:page;mso-position-vertical-relative:paragraph;z-index:15732736" id="docshape14" coordorigin="1670,1406" coordsize="33,33" path="m1691,1438l1682,1438,1678,1437,1671,1430,1670,1427,1670,1418,1671,1414,1678,1407,1682,1406,1691,1406,1694,1407,1701,1414,1702,1418,1702,1422,1702,1427,1701,1430,1694,1437,1691,14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General Counsel </w:t>
      </w:r>
      <w:r>
        <w:rPr>
          <w:color w:val="6E6158"/>
        </w:rPr>
        <w:t>Services Mergers &amp; Acquisitions Natural Resources</w:t>
      </w:r>
    </w:p>
    <w:p>
      <w:pPr>
        <w:pStyle w:val="Heading1"/>
        <w:spacing w:before="3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/>
        <w:ind w:right="45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157921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76pt;width:1.65pt;height:1.65pt;mso-position-horizontal-relative:page;mso-position-vertical-relative:paragraph;z-index:15733248" id="docshape15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416287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511pt;width:1.65pt;height:1.65pt;mso-position-horizontal-relative:page;mso-position-vertical-relative:paragraph;z-index:15733760" id="docshape16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America, Real Estate Law, 2025-</w:t>
      </w:r>
      <w:r>
        <w:rPr>
          <w:color w:val="6E6158"/>
        </w:rPr>
        <w:t>2026 NAIOP, Best Land Deal of the Year, 2023</w:t>
      </w:r>
    </w:p>
    <w:p>
      <w:pPr>
        <w:pStyle w:val="BodyText"/>
        <w:spacing w:line="420" w:lineRule="auto" w:before="6"/>
        <w:ind w:right="45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63567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5291pt;width:1.65pt;height:1.65pt;mso-position-horizontal-relative:page;mso-position-vertical-relative:paragraph;z-index:15734272" id="docshape17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327100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5915pt;width:1.65pt;height:1.65pt;mso-position-horizontal-relative:page;mso-position-vertical-relative:paragraph;z-index:15734784" id="docshape18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NAIOP, Best Industrial Real Estate Project, </w:t>
      </w:r>
      <w:r>
        <w:rPr>
          <w:color w:val="6E6158"/>
        </w:rPr>
        <w:t>2022 NAIOP, Best Land Deal of the Year, 2025</w:t>
      </w:r>
    </w:p>
    <w:p>
      <w:pPr>
        <w:pStyle w:val="Heading1"/>
        <w:spacing w:before="16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157842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8555pt;width:1.65pt;height:1.65pt;mso-position-horizontal-relative:page;mso-position-vertical-relative:paragraph;z-index:15735296" id="docshape1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Electric</w:t>
      </w:r>
      <w:r>
        <w:rPr>
          <w:color w:val="6E6158"/>
          <w:spacing w:val="11"/>
        </w:rPr>
        <w:t> </w:t>
      </w:r>
      <w:r>
        <w:rPr>
          <w:color w:val="6E6158"/>
        </w:rPr>
        <w:t>Cooperative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6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267949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8377pt;width:1.65pt;height:1.65pt;mso-position-horizontal-relative:page;mso-position-vertical-relative:paragraph;z-index:15735808" id="docshape20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The Florida Bar, Real Property, Probate and Trust Law Section, and Business Law </w:t>
      </w:r>
      <w:r>
        <w:rPr>
          <w:color w:val="6E6158"/>
          <w:spacing w:val="-2"/>
        </w:rPr>
        <w:t>Section</w:t>
      </w:r>
    </w:p>
    <w:p>
      <w:pPr>
        <w:pStyle w:val="BodyText"/>
        <w:spacing w:line="420" w:lineRule="auto" w:before="123"/>
        <w:ind w:right="29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142817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5476pt;width:1.65pt;height:1.65pt;mso-position-horizontal-relative:page;mso-position-vertical-relative:paragraph;z-index:15736320" id="docshape21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401183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9224pt;width:1.65pt;height:1.65pt;mso-position-horizontal-relative:page;mso-position-vertical-relative:paragraph;z-index:15736832" id="docshape22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Girl Scouts of West Central Florida, 2019-</w:t>
      </w:r>
      <w:r>
        <w:rPr>
          <w:color w:val="6E6158"/>
        </w:rPr>
        <w:t>2024 Member, Maryland Bar Association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63703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6006pt;width:1.65pt;height:1.65pt;mso-position-horizontal-relative:page;mso-position-vertical-relative:paragraph;z-index:15737344" id="docshape2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</w:t>
      </w:r>
      <w:r>
        <w:rPr>
          <w:color w:val="6E6158"/>
          <w:spacing w:val="14"/>
        </w:rPr>
        <w:t> </w:t>
      </w:r>
      <w:r>
        <w:rPr>
          <w:color w:val="6E6158"/>
        </w:rPr>
        <w:t>Plant</w:t>
      </w:r>
      <w:r>
        <w:rPr>
          <w:color w:val="6E6158"/>
          <w:spacing w:val="15"/>
        </w:rPr>
        <w:t> </w:t>
      </w:r>
      <w:r>
        <w:rPr>
          <w:color w:val="6E6158"/>
        </w:rPr>
        <w:t>City</w:t>
      </w:r>
      <w:r>
        <w:rPr>
          <w:color w:val="6E6158"/>
          <w:spacing w:val="15"/>
        </w:rPr>
        <w:t> </w:t>
      </w:r>
      <w:r>
        <w:rPr>
          <w:color w:val="6E6158"/>
        </w:rPr>
        <w:t>Economic</w:t>
      </w:r>
      <w:r>
        <w:rPr>
          <w:color w:val="6E6158"/>
          <w:spacing w:val="15"/>
        </w:rPr>
        <w:t> </w:t>
      </w:r>
      <w:r>
        <w:rPr>
          <w:color w:val="6E6158"/>
        </w:rPr>
        <w:t>Development</w:t>
      </w:r>
      <w:r>
        <w:rPr>
          <w:color w:val="6E6158"/>
          <w:spacing w:val="15"/>
        </w:rPr>
        <w:t> </w:t>
      </w:r>
      <w:r>
        <w:rPr>
          <w:color w:val="6E6158"/>
        </w:rPr>
        <w:t>Corporation,</w:t>
      </w:r>
      <w:r>
        <w:rPr>
          <w:color w:val="6E6158"/>
          <w:spacing w:val="15"/>
        </w:rPr>
        <w:t> </w:t>
      </w:r>
      <w:r>
        <w:rPr>
          <w:color w:val="6E6158"/>
        </w:rPr>
        <w:t>2017-</w:t>
      </w:r>
      <w:r>
        <w:rPr>
          <w:color w:val="6E6158"/>
          <w:spacing w:val="-4"/>
        </w:rPr>
        <w:t>2018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79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157503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1863pt;width:1.65pt;height:1.65pt;mso-position-horizontal-relative:page;mso-position-vertical-relative:paragraph;z-index:15737856" id="docshape2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415869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5605pt;width:1.65pt;height:1.65pt;mso-position-horizontal-relative:page;mso-position-vertical-relative:paragraph;z-index:15738368" id="docshape25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Florida Maryland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csmit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C. Smith - Fennemore</dc:title>
  <dcterms:created xsi:type="dcterms:W3CDTF">2026-04-01T02:52:59Z</dcterms:created>
  <dcterms:modified xsi:type="dcterms:W3CDTF">2026-04-01T02:52:59Z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2026-04-01T00:00:00Z</vt:filetime>
  </property>
  <property fmtid="{D5CDD505-2E9C-101B-9397-08002B2CF9AE}" pid="5" name="Producer">
    <vt:lpwstr>Skia/PDF m142</vt:lpwstr>
  </property>
</Properties>
</file>