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im Le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22680" y="763308"/>
                            <a:ext cx="14751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LEE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602.916.5422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602.916.5622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jlee@fennemorelaw.com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1954" y="3482163"/>
                            <a:ext cx="3564254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-1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practice,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enjoy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working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families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discovering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thoughtful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customized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solutions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particular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challenges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associated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prosperity.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951360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Jim Lee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56;top:-5815;width:232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JAMES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LEE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602.916.5422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602.916.5622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jlee@fennemorelaw.com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23;top:-1533;width:5613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-1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practice,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most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enjoy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working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families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discovering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thoughtful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customized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solutions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particular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challenges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associated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prosperity.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T.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JAMES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5"/>
          <w:sz w:val="24"/>
        </w:rPr>
        <w:t>LEE</w:t>
      </w:r>
    </w:p>
    <w:p>
      <w:pPr>
        <w:pStyle w:val="BodyText"/>
        <w:spacing w:line="295" w:lineRule="auto" w:before="146"/>
        <w:ind w:left="99" w:right="338"/>
      </w:pPr>
      <w:r>
        <w:rPr>
          <w:color w:val="6E6158"/>
        </w:rPr>
        <w:t>Terry James (“Jim”) Lee advises clients in estate planning, private wealth law, tax and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law, international matters, and real estate and commercial transactions. He also counsels</w:t>
      </w:r>
      <w:r>
        <w:rPr>
          <w:color w:val="6E6158"/>
          <w:spacing w:val="40"/>
        </w:rPr>
        <w:t> </w:t>
      </w:r>
      <w:r>
        <w:rPr>
          <w:color w:val="6E6158"/>
        </w:rPr>
        <w:t>business founders and their families on matters of family governance, privacy, and issues of</w:t>
      </w:r>
      <w:r>
        <w:rPr>
          <w:color w:val="6E6158"/>
          <w:spacing w:val="40"/>
        </w:rPr>
        <w:t> </w:t>
      </w:r>
      <w:r>
        <w:rPr>
          <w:color w:val="6E6158"/>
        </w:rPr>
        <w:t>especial</w:t>
      </w:r>
      <w:r>
        <w:rPr>
          <w:color w:val="6E6158"/>
          <w:spacing w:val="36"/>
        </w:rPr>
        <w:t> </w:t>
      </w:r>
      <w:r>
        <w:rPr>
          <w:color w:val="6E6158"/>
        </w:rPr>
        <w:t>importance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high-profile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ultra-high</w:t>
      </w:r>
      <w:r>
        <w:rPr>
          <w:color w:val="6E6158"/>
          <w:spacing w:val="36"/>
        </w:rPr>
        <w:t> </w:t>
      </w:r>
      <w:r>
        <w:rPr>
          <w:color w:val="6E6158"/>
        </w:rPr>
        <w:t>net</w:t>
      </w:r>
      <w:r>
        <w:rPr>
          <w:color w:val="6E6158"/>
          <w:spacing w:val="36"/>
        </w:rPr>
        <w:t> </w:t>
      </w:r>
      <w:r>
        <w:rPr>
          <w:color w:val="6E6158"/>
        </w:rPr>
        <w:t>worth</w:t>
      </w:r>
      <w:r>
        <w:rPr>
          <w:color w:val="6E6158"/>
          <w:spacing w:val="36"/>
        </w:rPr>
        <w:t> </w:t>
      </w:r>
      <w:r>
        <w:rPr>
          <w:color w:val="6E6158"/>
        </w:rPr>
        <w:t>families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individuals.</w:t>
      </w:r>
    </w:p>
    <w:p>
      <w:pPr>
        <w:pStyle w:val="BodyText"/>
        <w:spacing w:line="290" w:lineRule="auto" w:before="195"/>
        <w:ind w:left="99" w:right="168"/>
      </w:pPr>
      <w:r>
        <w:rPr>
          <w:color w:val="6E6158"/>
        </w:rPr>
        <w:t>Jim leads our </w:t>
      </w:r>
      <w:r>
        <w:rPr>
          <w:i/>
          <w:color w:val="6E6158"/>
          <w:sz w:val="20"/>
        </w:rPr>
        <w:t>family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office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private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client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attorneys</w:t>
      </w:r>
      <w:r>
        <w:rPr>
          <w:color w:val="6E6158"/>
        </w:rPr>
        <w:t>, a specialized group of advisors providing multidisciplinary resources and bespoke solutions for sensitive and pressing family concerns,</w:t>
      </w:r>
      <w:r>
        <w:rPr>
          <w:color w:val="6E6158"/>
          <w:spacing w:val="80"/>
        </w:rPr>
        <w:t> </w:t>
      </w:r>
      <w:r>
        <w:rPr>
          <w:color w:val="6E6158"/>
        </w:rPr>
        <w:t>values-based</w:t>
      </w:r>
      <w:r>
        <w:rPr>
          <w:color w:val="6E6158"/>
          <w:spacing w:val="37"/>
        </w:rPr>
        <w:t> </w:t>
      </w:r>
      <w:r>
        <w:rPr>
          <w:color w:val="6E6158"/>
        </w:rPr>
        <w:t>wealth</w:t>
      </w:r>
      <w:r>
        <w:rPr>
          <w:color w:val="6E6158"/>
          <w:spacing w:val="37"/>
        </w:rPr>
        <w:t> </w:t>
      </w:r>
      <w:r>
        <w:rPr>
          <w:color w:val="6E6158"/>
        </w:rPr>
        <w:t>transfer,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succession.</w:t>
      </w:r>
      <w:r>
        <w:rPr>
          <w:color w:val="6E6158"/>
          <w:spacing w:val="37"/>
        </w:rPr>
        <w:t> </w:t>
      </w:r>
      <w:r>
        <w:rPr>
          <w:color w:val="6E6158"/>
        </w:rPr>
        <w:t>Leveraging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background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business,</w:t>
      </w:r>
    </w:p>
    <w:p>
      <w:pPr>
        <w:pStyle w:val="BodyText"/>
        <w:spacing w:line="302" w:lineRule="auto" w:before="4"/>
        <w:ind w:left="99" w:right="338"/>
      </w:pPr>
      <w:r>
        <w:rPr>
          <w:color w:val="6E6158"/>
        </w:rPr>
        <w:t>economics, and accounting, he assists clients with the structuring and implementation of </w:t>
      </w:r>
      <w:r>
        <w:rPr>
          <w:color w:val="6E6158"/>
        </w:rPr>
        <w:t>trusts</w:t>
      </w:r>
      <w:r>
        <w:rPr>
          <w:color w:val="6E6158"/>
          <w:spacing w:val="40"/>
        </w:rPr>
        <w:t> </w:t>
      </w:r>
      <w:r>
        <w:rPr>
          <w:color w:val="6E6158"/>
        </w:rPr>
        <w:t>(such as dynastic IDGTs, GRATs, DAPTs, INGs, QPRTs, CRTs, CLTs, silent/quiet trusts, and aircraft</w:t>
      </w:r>
    </w:p>
    <w:p>
      <w:pPr>
        <w:pStyle w:val="BodyText"/>
        <w:spacing w:line="292" w:lineRule="auto"/>
        <w:ind w:left="99" w:right="338"/>
      </w:pPr>
      <w:r>
        <w:rPr>
          <w:color w:val="6E6158"/>
        </w:rPr>
        <w:t>trusts), family offices, private trust companies, family limited partnerships, LLCs, corporations,</w:t>
      </w:r>
      <w:r>
        <w:rPr>
          <w:color w:val="6E6158"/>
          <w:spacing w:val="40"/>
        </w:rPr>
        <w:t> </w:t>
      </w:r>
      <w:r>
        <w:rPr>
          <w:color w:val="6E6158"/>
        </w:rPr>
        <w:t>private</w:t>
      </w:r>
      <w:r>
        <w:rPr>
          <w:color w:val="6E6158"/>
          <w:spacing w:val="18"/>
        </w:rPr>
        <w:t> </w:t>
      </w:r>
      <w:r>
        <w:rPr>
          <w:color w:val="6E6158"/>
        </w:rPr>
        <w:t>foundations,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other</w:t>
      </w:r>
      <w:r>
        <w:rPr>
          <w:color w:val="6E6158"/>
          <w:spacing w:val="18"/>
        </w:rPr>
        <w:t> </w:t>
      </w:r>
      <w:r>
        <w:rPr>
          <w:color w:val="6E6158"/>
        </w:rPr>
        <w:t>sophisticated</w:t>
      </w:r>
      <w:r>
        <w:rPr>
          <w:color w:val="6E6158"/>
          <w:spacing w:val="18"/>
        </w:rPr>
        <w:t> </w:t>
      </w:r>
      <w:r>
        <w:rPr>
          <w:color w:val="6E6158"/>
        </w:rPr>
        <w:t>tax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investment</w:t>
      </w:r>
      <w:r>
        <w:rPr>
          <w:color w:val="6E6158"/>
          <w:spacing w:val="18"/>
        </w:rPr>
        <w:t> </w:t>
      </w:r>
      <w:r>
        <w:rPr>
          <w:color w:val="6E6158"/>
        </w:rPr>
        <w:t>vehicles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techniques.</w:t>
      </w:r>
      <w:r>
        <w:rPr>
          <w:color w:val="6E6158"/>
          <w:spacing w:val="18"/>
        </w:rPr>
        <w:t> </w:t>
      </w:r>
      <w:r>
        <w:rPr>
          <w:color w:val="6E6158"/>
        </w:rPr>
        <w:t>Jim</w:t>
      </w:r>
    </w:p>
    <w:p>
      <w:pPr>
        <w:pStyle w:val="BodyText"/>
        <w:spacing w:line="297" w:lineRule="auto"/>
        <w:ind w:left="99" w:right="108"/>
        <w:jc w:val="both"/>
      </w:pPr>
      <w:r>
        <w:rPr>
          <w:color w:val="6E6158"/>
        </w:rPr>
        <w:t>also serves as family office general counsel. Coming full circle, he advises trustees and executors</w:t>
      </w:r>
      <w:r>
        <w:rPr>
          <w:color w:val="6E6158"/>
          <w:spacing w:val="80"/>
        </w:rPr>
        <w:t> </w:t>
      </w:r>
      <w:r>
        <w:rPr>
          <w:color w:val="6E6158"/>
        </w:rPr>
        <w:t>on their fiduciary responsibilities and tax implications in the administration and distribution of </w:t>
      </w:r>
      <w:r>
        <w:rPr>
          <w:color w:val="6E6158"/>
        </w:rPr>
        <w:t>trusts and probate estates.</w:t>
      </w:r>
    </w:p>
    <w:p>
      <w:pPr>
        <w:pStyle w:val="BodyText"/>
        <w:spacing w:line="290" w:lineRule="auto" w:before="183"/>
        <w:ind w:left="99" w:right="166"/>
      </w:pPr>
      <w:r>
        <w:rPr>
          <w:color w:val="6E6158"/>
        </w:rPr>
        <w:t>A testament to his abilities, Jim has a referral-only, concierge practice. He has developed a</w:t>
      </w:r>
      <w:r>
        <w:rPr>
          <w:color w:val="6E6158"/>
          <w:spacing w:val="40"/>
        </w:rPr>
        <w:t> </w:t>
      </w:r>
      <w:r>
        <w:rPr>
          <w:color w:val="6E6158"/>
        </w:rPr>
        <w:t>reputation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being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inventive,</w:t>
      </w:r>
      <w:r>
        <w:rPr>
          <w:color w:val="6E6158"/>
          <w:spacing w:val="23"/>
        </w:rPr>
        <w:t> </w:t>
      </w:r>
      <w:r>
        <w:rPr>
          <w:color w:val="6E6158"/>
        </w:rPr>
        <w:t>outside-the-box</w:t>
      </w:r>
      <w:r>
        <w:rPr>
          <w:color w:val="6E6158"/>
          <w:spacing w:val="23"/>
        </w:rPr>
        <w:t> </w:t>
      </w:r>
      <w:r>
        <w:rPr>
          <w:color w:val="6E6158"/>
        </w:rPr>
        <w:t>problem-solver,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being</w:t>
      </w:r>
      <w:r>
        <w:rPr>
          <w:color w:val="6E6158"/>
          <w:spacing w:val="23"/>
        </w:rPr>
        <w:t> </w:t>
      </w:r>
      <w:r>
        <w:rPr>
          <w:color w:val="6E6158"/>
        </w:rPr>
        <w:t>fiercely</w:t>
      </w:r>
      <w:r>
        <w:rPr>
          <w:color w:val="6E6158"/>
          <w:spacing w:val="23"/>
        </w:rPr>
        <w:t> </w:t>
      </w:r>
      <w:r>
        <w:rPr>
          <w:color w:val="6E6158"/>
        </w:rPr>
        <w:t>loyal</w:t>
      </w:r>
      <w:r>
        <w:rPr>
          <w:color w:val="6E6158"/>
          <w:spacing w:val="23"/>
        </w:rPr>
        <w:t> </w:t>
      </w:r>
      <w:r>
        <w:rPr>
          <w:color w:val="6E6158"/>
        </w:rPr>
        <w:t>to his</w:t>
      </w:r>
      <w:r>
        <w:rPr>
          <w:color w:val="6E6158"/>
          <w:spacing w:val="30"/>
        </w:rPr>
        <w:t> </w:t>
      </w:r>
      <w:r>
        <w:rPr>
          <w:color w:val="6E6158"/>
        </w:rPr>
        <w:t>clients.</w:t>
      </w:r>
      <w:r>
        <w:rPr>
          <w:color w:val="6E6158"/>
          <w:spacing w:val="30"/>
        </w:rPr>
        <w:t> </w:t>
      </w:r>
      <w:r>
        <w:rPr>
          <w:color w:val="6E6158"/>
        </w:rPr>
        <w:t>This</w:t>
      </w:r>
      <w:r>
        <w:rPr>
          <w:color w:val="6E6158"/>
          <w:spacing w:val="30"/>
        </w:rPr>
        <w:t> </w:t>
      </w:r>
      <w:r>
        <w:rPr>
          <w:color w:val="6E6158"/>
        </w:rPr>
        <w:t>client-oriented</w:t>
      </w:r>
      <w:r>
        <w:rPr>
          <w:color w:val="6E6158"/>
          <w:spacing w:val="30"/>
        </w:rPr>
        <w:t> </w:t>
      </w:r>
      <w:r>
        <w:rPr>
          <w:color w:val="6E6158"/>
        </w:rPr>
        <w:t>approach</w:t>
      </w:r>
      <w:r>
        <w:rPr>
          <w:color w:val="6E6158"/>
          <w:spacing w:val="30"/>
        </w:rPr>
        <w:t> </w:t>
      </w:r>
      <w:r>
        <w:rPr>
          <w:color w:val="6E6158"/>
        </w:rPr>
        <w:t>means</w:t>
      </w:r>
      <w:r>
        <w:rPr>
          <w:color w:val="6E6158"/>
          <w:spacing w:val="30"/>
        </w:rPr>
        <w:t> </w:t>
      </w:r>
      <w:r>
        <w:rPr>
          <w:color w:val="6E6158"/>
        </w:rPr>
        <w:t>Jim</w:t>
      </w:r>
      <w:r>
        <w:rPr>
          <w:color w:val="6E6158"/>
          <w:spacing w:val="30"/>
        </w:rPr>
        <w:t> </w:t>
      </w:r>
      <w:r>
        <w:rPr>
          <w:color w:val="6E6158"/>
        </w:rPr>
        <w:t>designs</w:t>
      </w:r>
      <w:r>
        <w:rPr>
          <w:color w:val="6E6158"/>
          <w:spacing w:val="30"/>
        </w:rPr>
        <w:t> </w:t>
      </w:r>
      <w:r>
        <w:rPr>
          <w:color w:val="6E6158"/>
        </w:rPr>
        <w:t>estate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plans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meet the needs of each family’s personal vision. As an example, trusts and business succession plans</w:t>
      </w:r>
      <w:r>
        <w:rPr>
          <w:color w:val="6E6158"/>
          <w:spacing w:val="80"/>
        </w:rPr>
        <w:t> </w:t>
      </w:r>
      <w:r>
        <w:rPr>
          <w:color w:val="6E6158"/>
        </w:rPr>
        <w:t>can be customized to provide incentives to beneficiaries and successors, such as children and</w:t>
      </w:r>
      <w:r>
        <w:rPr>
          <w:color w:val="6E6158"/>
          <w:spacing w:val="40"/>
        </w:rPr>
        <w:t> </w:t>
      </w:r>
      <w:r>
        <w:rPr>
          <w:color w:val="6E6158"/>
        </w:rPr>
        <w:t>grandchildren, to become productive and contributing members of society. Often known as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family’s lawyer</w:t>
      </w:r>
      <w:r>
        <w:rPr>
          <w:color w:val="6E6158"/>
        </w:rPr>
        <w:t>, Jim develops long-term relationships that help promote continuity from</w:t>
      </w:r>
      <w:r>
        <w:rPr>
          <w:color w:val="6E6158"/>
          <w:spacing w:val="80"/>
        </w:rPr>
        <w:t> </w:t>
      </w:r>
      <w:r>
        <w:rPr>
          <w:color w:val="6E6158"/>
        </w:rPr>
        <w:t>generation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generation,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respecting</w:t>
      </w:r>
      <w:r>
        <w:rPr>
          <w:color w:val="6E6158"/>
          <w:spacing w:val="40"/>
        </w:rPr>
        <w:t> </w:t>
      </w:r>
      <w:r>
        <w:rPr>
          <w:color w:val="6E6158"/>
        </w:rPr>
        <w:t>individual</w:t>
      </w:r>
      <w:r>
        <w:rPr>
          <w:color w:val="6E6158"/>
          <w:spacing w:val="40"/>
        </w:rPr>
        <w:t> </w:t>
      </w:r>
      <w:r>
        <w:rPr>
          <w:color w:val="6E6158"/>
        </w:rPr>
        <w:t>thought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new</w:t>
      </w:r>
      <w:r>
        <w:rPr>
          <w:color w:val="6E6158"/>
          <w:spacing w:val="40"/>
        </w:rPr>
        <w:t> </w:t>
      </w:r>
      <w:r>
        <w:rPr>
          <w:color w:val="6E6158"/>
        </w:rPr>
        <w:t>perspectives.</w:t>
      </w:r>
    </w:p>
    <w:p>
      <w:pPr>
        <w:pStyle w:val="BodyText"/>
        <w:spacing w:after="0" w:line="29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315"/>
      </w:pPr>
      <w:r>
        <w:rPr>
          <w:color w:val="6E6158"/>
        </w:rPr>
        <w:t>Jim is fluent in Spanish, and many years ago, while living in a foreign country, he witnessed</w:t>
      </w:r>
      <w:r>
        <w:rPr>
          <w:color w:val="6E6158"/>
          <w:spacing w:val="40"/>
        </w:rPr>
        <w:t> </w:t>
      </w:r>
      <w:r>
        <w:rPr>
          <w:color w:val="6E6158"/>
        </w:rPr>
        <w:t>firsthand the impact attorneys can have helping others with their legal and familial goals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objectives. He cherishes opportunities to help people in his role as an analytical thinker, writer, and advocate.</w:t>
      </w:r>
    </w:p>
    <w:p>
      <w:pPr>
        <w:pStyle w:val="BodyText"/>
        <w:spacing w:before="197"/>
        <w:ind w:left="99"/>
      </w:pPr>
      <w:r>
        <w:rPr>
          <w:color w:val="6E6158"/>
        </w:rPr>
        <w:t>Jim</w:t>
      </w:r>
      <w:r>
        <w:rPr>
          <w:color w:val="6E6158"/>
          <w:spacing w:val="12"/>
        </w:rPr>
        <w:t> </w:t>
      </w:r>
      <w:r>
        <w:rPr>
          <w:color w:val="6E6158"/>
        </w:rPr>
        <w:t>enjoys</w:t>
      </w:r>
      <w:r>
        <w:rPr>
          <w:color w:val="6E6158"/>
          <w:spacing w:val="12"/>
        </w:rPr>
        <w:t> </w:t>
      </w:r>
      <w:r>
        <w:rPr>
          <w:color w:val="6E6158"/>
        </w:rPr>
        <w:t>time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family,</w:t>
      </w:r>
      <w:r>
        <w:rPr>
          <w:color w:val="6E6158"/>
          <w:spacing w:val="13"/>
        </w:rPr>
        <w:t> </w:t>
      </w:r>
      <w:r>
        <w:rPr>
          <w:color w:val="6E6158"/>
        </w:rPr>
        <w:t>composing</w:t>
      </w:r>
      <w:r>
        <w:rPr>
          <w:color w:val="6E6158"/>
          <w:spacing w:val="12"/>
        </w:rPr>
        <w:t> </w:t>
      </w:r>
      <w:r>
        <w:rPr>
          <w:color w:val="6E6158"/>
        </w:rPr>
        <w:t>music,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experiencing</w:t>
      </w:r>
      <w:r>
        <w:rPr>
          <w:color w:val="6E6158"/>
          <w:spacing w:val="12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</w:rPr>
        <w:t>cultures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302" w:lineRule="auto" w:before="52"/>
        <w:ind w:left="99" w:right="338"/>
      </w:pPr>
      <w:r>
        <w:rPr>
          <w:color w:val="6E6158"/>
        </w:rPr>
        <w:t>languages. For seven years he performed as a member of the Phoenix Boys Choir, entertaining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touring</w:t>
      </w:r>
      <w:r>
        <w:rPr>
          <w:color w:val="6E6158"/>
          <w:spacing w:val="32"/>
        </w:rPr>
        <w:t> </w:t>
      </w:r>
      <w:r>
        <w:rPr>
          <w:color w:val="6E6158"/>
        </w:rPr>
        <w:t>throughout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United</w:t>
      </w:r>
      <w:r>
        <w:rPr>
          <w:color w:val="6E6158"/>
          <w:spacing w:val="32"/>
        </w:rPr>
        <w:t> </w:t>
      </w:r>
      <w:r>
        <w:rPr>
          <w:color w:val="6E6158"/>
        </w:rPr>
        <w:t>States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abroad.</w:t>
      </w:r>
      <w:r>
        <w:rPr>
          <w:color w:val="6E6158"/>
          <w:spacing w:val="32"/>
        </w:rPr>
        <w:t> </w:t>
      </w:r>
      <w:r>
        <w:rPr>
          <w:color w:val="6E6158"/>
        </w:rPr>
        <w:t>“Because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those</w:t>
      </w:r>
      <w:r>
        <w:rPr>
          <w:color w:val="6E6158"/>
          <w:spacing w:val="32"/>
        </w:rPr>
        <w:t> </w:t>
      </w:r>
      <w:r>
        <w:rPr>
          <w:color w:val="6E6158"/>
        </w:rPr>
        <w:t>early</w:t>
      </w:r>
      <w:r>
        <w:rPr>
          <w:color w:val="6E6158"/>
          <w:spacing w:val="32"/>
        </w:rPr>
        <w:t> </w:t>
      </w:r>
      <w:r>
        <w:rPr>
          <w:color w:val="6E6158"/>
        </w:rPr>
        <w:t>eye-opening</w:t>
      </w:r>
    </w:p>
    <w:p>
      <w:pPr>
        <w:pStyle w:val="BodyText"/>
        <w:spacing w:line="295" w:lineRule="auto"/>
        <w:ind w:left="99" w:right="122"/>
      </w:pPr>
      <w:r>
        <w:rPr>
          <w:color w:val="6E6158"/>
        </w:rPr>
        <w:t>experiences, the desire to meet and appreciate other people and their cultures and beliefs,” he</w:t>
      </w:r>
      <w:r>
        <w:rPr>
          <w:color w:val="6E6158"/>
          <w:spacing w:val="40"/>
        </w:rPr>
        <w:t> </w:t>
      </w:r>
      <w:r>
        <w:rPr>
          <w:color w:val="6E6158"/>
        </w:rPr>
        <w:t>says,</w:t>
      </w:r>
      <w:r>
        <w:rPr>
          <w:color w:val="6E6158"/>
          <w:spacing w:val="15"/>
        </w:rPr>
        <w:t> </w:t>
      </w:r>
      <w:r>
        <w:rPr>
          <w:color w:val="6E6158"/>
        </w:rPr>
        <w:t>“has</w:t>
      </w:r>
      <w:r>
        <w:rPr>
          <w:color w:val="6E6158"/>
          <w:spacing w:val="15"/>
        </w:rPr>
        <w:t> </w:t>
      </w:r>
      <w:r>
        <w:rPr>
          <w:color w:val="6E6158"/>
        </w:rPr>
        <w:t>never</w:t>
      </w:r>
      <w:r>
        <w:rPr>
          <w:color w:val="6E6158"/>
          <w:spacing w:val="15"/>
        </w:rPr>
        <w:t> </w:t>
      </w:r>
      <w:r>
        <w:rPr>
          <w:color w:val="6E6158"/>
        </w:rPr>
        <w:t>quite</w:t>
      </w:r>
      <w:r>
        <w:rPr>
          <w:color w:val="6E6158"/>
          <w:spacing w:val="15"/>
        </w:rPr>
        <w:t> </w:t>
      </w:r>
      <w:r>
        <w:rPr>
          <w:color w:val="6E6158"/>
        </w:rPr>
        <w:t>left</w:t>
      </w:r>
      <w:r>
        <w:rPr>
          <w:color w:val="6E6158"/>
          <w:spacing w:val="15"/>
        </w:rPr>
        <w:t> </w:t>
      </w:r>
      <w:r>
        <w:rPr>
          <w:color w:val="6E6158"/>
        </w:rPr>
        <w:t>me.</w:t>
      </w:r>
      <w:r>
        <w:rPr>
          <w:color w:val="6E6158"/>
          <w:spacing w:val="15"/>
        </w:rPr>
        <w:t> </w:t>
      </w:r>
      <w:r>
        <w:rPr>
          <w:color w:val="6E6158"/>
        </w:rPr>
        <w:t>When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guest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another</w:t>
      </w:r>
      <w:r>
        <w:rPr>
          <w:color w:val="6E6158"/>
          <w:spacing w:val="15"/>
        </w:rPr>
        <w:t> </w:t>
      </w:r>
      <w:r>
        <w:rPr>
          <w:color w:val="6E6158"/>
        </w:rPr>
        <w:t>country,</w:t>
      </w:r>
      <w:r>
        <w:rPr>
          <w:color w:val="6E6158"/>
          <w:spacing w:val="15"/>
        </w:rPr>
        <w:t> </w:t>
      </w:r>
      <w:r>
        <w:rPr>
          <w:color w:val="6E6158"/>
        </w:rPr>
        <w:t>I</w:t>
      </w:r>
      <w:r>
        <w:rPr>
          <w:color w:val="6E6158"/>
          <w:spacing w:val="15"/>
        </w:rPr>
        <w:t> </w:t>
      </w:r>
      <w:r>
        <w:rPr>
          <w:color w:val="6E6158"/>
        </w:rPr>
        <w:t>prefer</w:t>
      </w:r>
      <w:r>
        <w:rPr>
          <w:color w:val="6E6158"/>
          <w:spacing w:val="15"/>
        </w:rPr>
        <w:t> </w:t>
      </w:r>
      <w:r>
        <w:rPr>
          <w:color w:val="6E6158"/>
        </w:rPr>
        <w:t>not</w:t>
      </w:r>
      <w:r>
        <w:rPr>
          <w:color w:val="6E6158"/>
          <w:spacing w:val="15"/>
        </w:rPr>
        <w:t> </w:t>
      </w:r>
      <w:r>
        <w:rPr>
          <w:color w:val="6E6158"/>
        </w:rPr>
        <w:t>only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visit</w:t>
      </w:r>
      <w:r>
        <w:rPr>
          <w:color w:val="6E6158"/>
          <w:spacing w:val="15"/>
        </w:rPr>
        <w:t> </w:t>
      </w:r>
      <w:r>
        <w:rPr>
          <w:color w:val="6E6158"/>
        </w:rPr>
        <w:t>but</w:t>
      </w:r>
      <w:r>
        <w:rPr>
          <w:color w:val="6E6158"/>
          <w:spacing w:val="15"/>
        </w:rPr>
        <w:t> </w:t>
      </w:r>
      <w:r>
        <w:rPr>
          <w:color w:val="6E6158"/>
        </w:rPr>
        <w:t>also to</w:t>
      </w:r>
      <w:r>
        <w:rPr>
          <w:color w:val="6E6158"/>
          <w:spacing w:val="23"/>
        </w:rPr>
        <w:t> </w:t>
      </w:r>
      <w:r>
        <w:rPr>
          <w:color w:val="6E6158"/>
        </w:rPr>
        <w:t>interact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its</w:t>
      </w:r>
      <w:r>
        <w:rPr>
          <w:color w:val="6E6158"/>
          <w:spacing w:val="23"/>
        </w:rPr>
        <w:t> </w:t>
      </w:r>
      <w:r>
        <w:rPr>
          <w:color w:val="6E6158"/>
        </w:rPr>
        <w:t>people.</w:t>
      </w:r>
      <w:r>
        <w:rPr>
          <w:color w:val="6E6158"/>
          <w:spacing w:val="23"/>
        </w:rPr>
        <w:t> </w:t>
      </w:r>
      <w:r>
        <w:rPr>
          <w:color w:val="6E6158"/>
        </w:rPr>
        <w:t>They</w:t>
      </w:r>
      <w:r>
        <w:rPr>
          <w:color w:val="6E6158"/>
          <w:spacing w:val="23"/>
        </w:rPr>
        <w:t> </w:t>
      </w:r>
      <w:r>
        <w:rPr>
          <w:color w:val="6E6158"/>
        </w:rPr>
        <w:t>then</w:t>
      </w:r>
      <w:r>
        <w:rPr>
          <w:color w:val="6E6158"/>
          <w:spacing w:val="23"/>
        </w:rPr>
        <w:t> </w:t>
      </w:r>
      <w:r>
        <w:rPr>
          <w:color w:val="6E6158"/>
        </w:rPr>
        <w:t>become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part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you,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you</w:t>
      </w:r>
      <w:r>
        <w:rPr>
          <w:color w:val="6E6158"/>
          <w:spacing w:val="23"/>
        </w:rPr>
        <w:t> </w:t>
      </w:r>
      <w:r>
        <w:rPr>
          <w:color w:val="6E6158"/>
        </w:rPr>
        <w:t>become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ambassador of</w:t>
      </w:r>
      <w:r>
        <w:rPr>
          <w:color w:val="6E6158"/>
          <w:spacing w:val="12"/>
        </w:rPr>
        <w:t> </w:t>
      </w:r>
      <w:r>
        <w:rPr>
          <w:color w:val="6E6158"/>
        </w:rPr>
        <w:t>both</w:t>
      </w:r>
      <w:r>
        <w:rPr>
          <w:color w:val="6E6158"/>
          <w:spacing w:val="12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home</w:t>
      </w:r>
      <w:r>
        <w:rPr>
          <w:color w:val="6E6158"/>
          <w:spacing w:val="12"/>
        </w:rPr>
        <w:t> </w:t>
      </w:r>
      <w:r>
        <w:rPr>
          <w:color w:val="6E6158"/>
        </w:rPr>
        <w:t>country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part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world</w:t>
      </w:r>
      <w:r>
        <w:rPr>
          <w:color w:val="6E6158"/>
          <w:spacing w:val="12"/>
        </w:rPr>
        <w:t> </w:t>
      </w:r>
      <w:r>
        <w:rPr>
          <w:color w:val="6E6158"/>
        </w:rPr>
        <w:t>you</w:t>
      </w:r>
      <w:r>
        <w:rPr>
          <w:color w:val="6E6158"/>
          <w:spacing w:val="12"/>
        </w:rPr>
        <w:t> </w:t>
      </w:r>
      <w:r>
        <w:rPr>
          <w:color w:val="6E6158"/>
        </w:rPr>
        <w:t>have</w:t>
      </w:r>
      <w:r>
        <w:rPr>
          <w:color w:val="6E6158"/>
          <w:spacing w:val="12"/>
        </w:rPr>
        <w:t> </w:t>
      </w:r>
      <w:r>
        <w:rPr>
          <w:color w:val="6E6158"/>
        </w:rPr>
        <w:t>come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know.</w:t>
      </w:r>
      <w:r>
        <w:rPr>
          <w:color w:val="6E6158"/>
          <w:spacing w:val="12"/>
        </w:rPr>
        <w:t> </w:t>
      </w:r>
      <w:r>
        <w:rPr>
          <w:color w:val="6E6158"/>
        </w:rPr>
        <w:t>Phoenix,</w:t>
      </w:r>
      <w:r>
        <w:rPr>
          <w:color w:val="6E6158"/>
          <w:spacing w:val="12"/>
        </w:rPr>
        <w:t> </w:t>
      </w:r>
      <w:r>
        <w:rPr>
          <w:color w:val="6E6158"/>
        </w:rPr>
        <w:t>Arizona is my base camp.”</w:t>
      </w:r>
    </w:p>
    <w:p>
      <w:pPr>
        <w:pStyle w:val="BodyText"/>
        <w:spacing w:line="295" w:lineRule="auto" w:before="185"/>
        <w:ind w:left="99" w:right="315"/>
      </w:pPr>
      <w:r>
        <w:rPr>
          <w:color w:val="6E6158"/>
        </w:rPr>
        <w:t>Married with six now-adult children, Jim once saw himself as “the roadie” and sound engineer for</w:t>
      </w:r>
      <w:r>
        <w:rPr>
          <w:color w:val="6E6158"/>
          <w:spacing w:val="40"/>
        </w:rPr>
        <w:t> </w:t>
      </w:r>
      <w:r>
        <w:rPr>
          <w:color w:val="6E6158"/>
        </w:rPr>
        <w:t>his kids’ mobile DJ business—a business Jim too once had back in high school. You might have</w:t>
      </w:r>
      <w:r>
        <w:rPr>
          <w:color w:val="6E6158"/>
          <w:spacing w:val="40"/>
        </w:rPr>
        <w:t> </w:t>
      </w:r>
      <w:r>
        <w:rPr>
          <w:color w:val="6E6158"/>
        </w:rPr>
        <w:t>found him playing at schools, weddings, and private events. His go-to song? Elvis Presley’s </w:t>
      </w:r>
      <w:r>
        <w:rPr>
          <w:color w:val="6E6158"/>
        </w:rPr>
        <w:t>“Can’t</w:t>
      </w:r>
      <w:r>
        <w:rPr>
          <w:color w:val="6E6158"/>
          <w:spacing w:val="40"/>
        </w:rPr>
        <w:t> </w:t>
      </w:r>
      <w:r>
        <w:rPr>
          <w:color w:val="6E6158"/>
        </w:rPr>
        <w:t>Help Falling in Love.”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977669</wp:posOffset>
            </wp:positionH>
            <wp:positionV relativeFrom="paragraph">
              <wp:posOffset>107007</wp:posOffset>
            </wp:positionV>
            <wp:extent cx="771525" cy="154305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5" w:lineRule="auto" w:before="40"/>
        <w:ind w:left="99" w:right="313"/>
      </w:pPr>
      <w:r>
        <w:rPr>
          <w:color w:val="6E6158"/>
        </w:rPr>
        <w:t>Jim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fellow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American</w:t>
      </w:r>
      <w:r>
        <w:rPr>
          <w:color w:val="6E6158"/>
          <w:spacing w:val="20"/>
        </w:rPr>
        <w:t> </w:t>
      </w:r>
      <w:r>
        <w:rPr>
          <w:color w:val="6E6158"/>
        </w:rPr>
        <w:t>College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Trust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Estate</w:t>
      </w:r>
      <w:r>
        <w:rPr>
          <w:color w:val="6E6158"/>
          <w:spacing w:val="20"/>
        </w:rPr>
        <w:t> </w:t>
      </w:r>
      <w:r>
        <w:rPr>
          <w:color w:val="6E6158"/>
        </w:rPr>
        <w:t>Counsel</w:t>
      </w:r>
      <w:r>
        <w:rPr>
          <w:color w:val="6E6158"/>
          <w:spacing w:val="20"/>
        </w:rPr>
        <w:t> </w:t>
      </w:r>
      <w:r>
        <w:rPr>
          <w:color w:val="6E6158"/>
        </w:rPr>
        <w:t>(ACTEC),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group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peer-elected trust and estate attorneys spanning the U.S. and abroad. He is also a published author,</w:t>
      </w:r>
      <w:r>
        <w:rPr>
          <w:color w:val="6E6158"/>
          <w:spacing w:val="40"/>
        </w:rPr>
        <w:t> </w:t>
      </w:r>
      <w:r>
        <w:rPr>
          <w:color w:val="6E6158"/>
        </w:rPr>
        <w:t>frequent lecturer to other attorneys and CPAs, and a Certified Specialist in trusts and estates</w:t>
      </w:r>
      <w:r>
        <w:rPr>
          <w:color w:val="6E6158"/>
          <w:spacing w:val="40"/>
        </w:rPr>
        <w:t> </w:t>
      </w:r>
      <w:r>
        <w:rPr>
          <w:color w:val="6E6158"/>
        </w:rPr>
        <w:t>through the State Bar of Arizona.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7"/>
        <w:ind w:right="2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157873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02pt;width:1.65pt;height:1.65pt;mso-position-horizontal-relative:page;mso-position-vertical-relative:paragraph;z-index:15729664" id="docshape1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416239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761pt;width:1.65pt;height:1.65pt;mso-position-horizontal-relative:page;mso-position-vertical-relative:paragraph;z-index:15730176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with honors Brigham Young University, J. Reuben Clark Law </w:t>
      </w:r>
      <w:r>
        <w:rPr>
          <w:color w:val="6E6158"/>
        </w:rPr>
        <w:t>School</w:t>
      </w:r>
      <w:r>
        <w:rPr>
          <w:color w:val="6E6158"/>
        </w:rPr>
        <w:t> B.S., Business Management Brigham Young University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147656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26492pt;width:1.65pt;height:1.65pt;mso-position-horizontal-relative:page;mso-position-vertical-relative:paragraph;z-index:15730688" id="docshape14" coordorigin="1670,233" coordsize="33,33" path="m1691,265l1682,265,1678,263,1671,257,1670,253,1670,244,1671,240,1678,234,1682,233,1691,233,1694,234,1701,240,1702,244,1702,249,1702,253,1701,257,1694,263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business school graduate in entrepreneurship, business composite minor (Accounting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Economics), and minor in Spanish</w:t>
      </w:r>
    </w:p>
    <w:p>
      <w:pPr>
        <w:spacing w:line="415" w:lineRule="auto" w:before="106"/>
        <w:ind w:left="351" w:right="4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138094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873602pt;width:1.65pt;height:1.65pt;mso-position-horizontal-relative:page;mso-position-vertical-relative:paragraph;z-index:15731200" id="docshape15" coordorigin="1670,217" coordsize="33,33" path="m1691,250l1682,250,1678,248,1671,242,1670,238,1670,229,1671,225,1678,219,1682,217,1691,217,1694,219,1701,225,1702,229,1702,234,1702,238,1701,242,1694,248,1691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396460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17344pt;width:1.65pt;height:1.65pt;mso-position-horizontal-relative:page;mso-position-vertical-relative:paragraph;z-index:15731712" id="docshape16" coordorigin="1670,624" coordsize="33,33" path="m1691,657l1682,657,1678,655,1671,649,1670,645,1670,636,1671,632,1678,626,1682,624,1691,624,1694,626,1701,632,1702,636,1702,641,1702,645,1701,649,1694,655,1691,6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Brigham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Young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Editorial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Board,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1995-1996;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1994-1996 Extern, Honorable J. Kenneth Mangum, Superior Court of Arizona, 1994</w:t>
      </w:r>
    </w:p>
    <w:p>
      <w:pPr>
        <w:spacing w:before="16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/>
        <w:ind w:right="48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59592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923pt;width:1.65pt;height:1.65pt;mso-position-horizontal-relative:page;mso-position-vertical-relative:paragraph;z-index:15732224" id="docshape17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323124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2867pt;width:1.65pt;height:1.65pt;mso-position-horizontal-relative:page;mso-position-vertical-relative:paragraph;z-index:15732736" id="docshape18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Nonprofit and Tax-Exempt </w:t>
      </w:r>
      <w:r>
        <w:rPr>
          <w:color w:val="6E6158"/>
        </w:rPr>
        <w:t>Organizations Trusts &amp; Estates</w:t>
      </w:r>
    </w:p>
    <w:p>
      <w:pPr>
        <w:pStyle w:val="BodyText"/>
        <w:spacing w:line="420" w:lineRule="auto"/>
        <w:ind w:right="7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63749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643pt;width:1.65pt;height:1.65pt;mso-position-horizontal-relative:page;mso-position-vertical-relative:paragraph;z-index:15733248" id="docshape1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322115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3411pt;width:1.65pt;height:1.65pt;mso-position-horizontal-relative:page;mso-position-vertical-relative:paragraph;z-index:15733760" id="docshape20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2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7" w:lineRule="auto" w:before="174"/>
        <w:ind w:right="48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4784" id="docshape2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433702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07pt;width:1.65pt;height:1.65pt;mso-position-horizontal-relative:page;mso-position-vertical-relative:paragraph;z-index:15735296" id="docshape2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 Office &amp; Private Client </w:t>
      </w:r>
      <w:r>
        <w:rPr>
          <w:color w:val="6E6158"/>
        </w:rPr>
        <w:t>Attorneys Estate Planning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54962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726pt;width:1.65pt;height:1.65pt;mso-position-horizontal-relative:page;mso-position-vertical-relative:paragraph;z-index:15735808" id="docshape24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3" w:lineRule="auto" w:before="137"/>
        <w:ind w:left="351" w:right="25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157925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068pt;width:1.65pt;height:1.65pt;mso-position-horizontal-relative:page;mso-position-vertical-relative:paragraph;z-index:15736320" id="docshape25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416290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816pt;width:1.65pt;height:1.65pt;mso-position-horizontal-relative:page;mso-position-vertical-relative:paragraph;z-index:15736832" id="docshape2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674656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2566pt;width:1.65pt;height:1.65pt;mso-position-horizontal-relative:page;mso-position-vertical-relative:paragraph;z-index:15737344" id="docshape27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Tax Law, Trusts and Estates, Litigation – Trusts and Estates, 2010-2026 </w:t>
      </w: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Lawyer of the Year, Trusts and Estates, 2017, 2021, 2024, 2026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Lawyer of the Year, Trusts and Estates,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2026</w:t>
      </w:r>
    </w:p>
    <w:p>
      <w:pPr>
        <w:spacing w:line="238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66408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22905pt;width:1.65pt;height:1.65pt;mso-position-horizontal-relative:page;mso-position-vertical-relative:paragraph;z-index:15737856" id="docshape28" coordorigin="1670,105" coordsize="33,33" path="m1691,137l1682,137,1678,136,1671,129,1670,125,1670,116,1671,113,1678,106,1682,105,1691,105,1694,106,1701,113,1702,116,1702,121,1702,125,1701,129,1694,136,1691,1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America®</w:t>
      </w:r>
      <w:r>
        <w:rPr>
          <w:color w:val="6E6158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173583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8025pt;width:1.65pt;height:1.65pt;mso-position-horizontal-relative:page;mso-position-vertical-relative:paragraph;z-index:15738368" id="docshape29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Eleanor</w:t>
      </w:r>
      <w:r>
        <w:rPr>
          <w:color w:val="6E6158"/>
          <w:spacing w:val="10"/>
        </w:rPr>
        <w:t> </w:t>
      </w:r>
      <w:r>
        <w:rPr>
          <w:color w:val="6E6158"/>
        </w:rPr>
        <w:t>ter</w:t>
      </w:r>
      <w:r>
        <w:rPr>
          <w:color w:val="6E6158"/>
          <w:spacing w:val="11"/>
        </w:rPr>
        <w:t> </w:t>
      </w:r>
      <w:r>
        <w:rPr>
          <w:color w:val="6E6158"/>
        </w:rPr>
        <w:t>Horst</w:t>
      </w:r>
      <w:r>
        <w:rPr>
          <w:color w:val="6E6158"/>
          <w:spacing w:val="10"/>
        </w:rPr>
        <w:t> </w:t>
      </w:r>
      <w:r>
        <w:rPr>
          <w:color w:val="6E6158"/>
        </w:rPr>
        <w:t>Distinguished</w:t>
      </w:r>
      <w:r>
        <w:rPr>
          <w:color w:val="6E6158"/>
          <w:spacing w:val="11"/>
        </w:rPr>
        <w:t> </w:t>
      </w:r>
      <w:r>
        <w:rPr>
          <w:color w:val="6E6158"/>
        </w:rPr>
        <w:t>Service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2023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Recipient</w:t>
      </w:r>
    </w:p>
    <w:p>
      <w:pPr>
        <w:pStyle w:val="BodyText"/>
        <w:spacing w:line="415" w:lineRule="auto" w:before="164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175438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071pt;width:1.65pt;height:1.65pt;mso-position-horizontal-relative:page;mso-position-vertical-relative:paragraph;z-index:15738880" id="docshape3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433804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7818pt;width:1.65pt;height:1.65pt;mso-position-horizontal-relative:page;mso-position-vertical-relative:paragraph;z-index:15739392" id="docshape3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 Super Lawyers®</w:t>
      </w:r>
      <w:r>
        <w:rPr>
          <w:color w:val="6E6158"/>
        </w:rPr>
        <w:t>, Estate Planning and Probate, 2008, 2010-2018, 2022-</w:t>
      </w:r>
      <w:r>
        <w:rPr>
          <w:color w:val="6E6158"/>
        </w:rPr>
        <w:t>2026 Chambers HNW, Leading High Net Worth Advisors (Band 1), 2016-2025</w:t>
      </w:r>
    </w:p>
    <w:p>
      <w:pPr>
        <w:spacing w:line="240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67904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346829pt;width:1.65pt;height:1.65pt;mso-position-horizontal-relative:page;mso-position-vertical-relative:paragraph;z-index:15739904" id="docshape32" coordorigin="1670,107" coordsize="33,33" path="m1691,139l1682,139,1678,138,1671,132,1670,128,1670,119,1671,115,1678,109,1682,107,1691,107,1694,109,1701,115,1702,119,1702,123,1702,128,1701,132,1694,138,1691,1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Arizona’s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Finest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Regular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admitted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2011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173953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7088pt;width:1.65pt;height:1.65pt;mso-position-horizontal-relative:page;mso-position-vertical-relative:paragraph;z-index:15740416" id="docshape33" coordorigin="1670,274" coordsize="33,33" path="m1691,306l1682,306,1678,305,1671,299,1670,295,1670,286,1671,282,1678,276,1682,274,1691,274,1694,276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</w:t>
      </w:r>
      <w:r>
        <w:rPr>
          <w:color w:val="6E6158"/>
          <w:spacing w:val="11"/>
        </w:rPr>
        <w:t> </w:t>
      </w:r>
      <w:r>
        <w:rPr>
          <w:color w:val="6E6158"/>
        </w:rPr>
        <w:t>Preeminent™</w:t>
      </w:r>
      <w:r>
        <w:rPr>
          <w:color w:val="6E6158"/>
          <w:spacing w:val="12"/>
        </w:rPr>
        <w:t> </w:t>
      </w:r>
      <w:r>
        <w:rPr>
          <w:color w:val="6E6158"/>
        </w:rPr>
        <w:t>Peer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1"/>
        </w:rPr>
        <w:t> </w:t>
      </w:r>
      <w:r>
        <w:rPr>
          <w:color w:val="6E6158"/>
        </w:rPr>
        <w:t>highest</w:t>
      </w:r>
      <w:r>
        <w:rPr>
          <w:color w:val="6E6158"/>
          <w:spacing w:val="12"/>
        </w:rPr>
        <w:t> </w:t>
      </w:r>
      <w:r>
        <w:rPr>
          <w:color w:val="6E6158"/>
        </w:rPr>
        <w:t>rating</w:t>
      </w:r>
      <w:r>
        <w:rPr>
          <w:color w:val="6E6158"/>
          <w:spacing w:val="11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Hubbell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245611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946pt;width:1.65pt;height:1.65pt;mso-position-horizontal-relative:page;mso-position-vertical-relative:paragraph;z-index:15740928" id="docshape3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Co-Facilitator, “Is It a Cliff or Is It an Illusion:</w:t>
      </w:r>
      <w:r>
        <w:rPr>
          <w:color w:val="6E6158"/>
          <w:spacing w:val="74"/>
        </w:rPr>
        <w:t> </w:t>
      </w:r>
      <w:r>
        <w:rPr>
          <w:color w:val="6E6158"/>
        </w:rPr>
        <w:t>Planning for 2025 and Beyond,” Cambridge Forum on Private Wealth Law, Nashville, Tennessee, May 2025</w:t>
      </w:r>
    </w:p>
    <w:p>
      <w:pPr>
        <w:pStyle w:val="BodyText"/>
        <w:spacing w:line="29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323561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7308pt;width:1.65pt;height:1.65pt;mso-position-horizontal-relative:page;mso-position-vertical-relative:paragraph;z-index:15741440" id="docshape35" coordorigin="1670,510" coordsize="33,33" path="m1691,542l1682,542,1678,541,1671,534,1670,530,1670,521,1671,517,1678,511,1682,510,1691,510,1694,511,1701,517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“New Rules, New Tools:</w:t>
      </w:r>
      <w:r>
        <w:rPr>
          <w:color w:val="6E6158"/>
          <w:spacing w:val="76"/>
        </w:rPr>
        <w:t> </w:t>
      </w:r>
      <w:r>
        <w:rPr>
          <w:color w:val="6E6158"/>
        </w:rPr>
        <w:t>Charitable Gifts of Closely Held Business Interests,” or How to Reduce Taxable Gains in a Business Sale, Southern Arizona Estate Planners Council (SAEPC),</w:t>
      </w:r>
      <w:r>
        <w:rPr>
          <w:color w:val="6E6158"/>
          <w:spacing w:val="40"/>
        </w:rPr>
        <w:t> </w:t>
      </w:r>
      <w:r>
        <w:rPr>
          <w:color w:val="6E6158"/>
        </w:rPr>
        <w:t>January 2025</w:t>
      </w:r>
    </w:p>
    <w:p>
      <w:pPr>
        <w:pStyle w:val="BodyText"/>
        <w:spacing w:line="302" w:lineRule="auto" w:before="118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232572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12771pt;width:1.65pt;height:1.65pt;mso-position-horizontal-relative:page;mso-position-vertical-relative:paragraph;z-index:15741952" id="docshape36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“Directing the Undirected — Directed Trust Alternatives,” Southern Arizona </w:t>
      </w:r>
      <w:r>
        <w:rPr>
          <w:color w:val="6E6158"/>
        </w:rPr>
        <w:t>Estate Planners Council (SAEPC), January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224091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985pt;width:1.65pt;height:1.65pt;mso-position-horizontal-relative:page;mso-position-vertical-relative:paragraph;z-index:15742464" id="docshape37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 and Presenter, “Arizona Statutory Updates,” ACTEC Western Region Meeting, </w:t>
      </w:r>
      <w:r>
        <w:rPr>
          <w:color w:val="6E6158"/>
        </w:rPr>
        <w:t>Koloa, Hawaii, August 2024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235786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840pt;width:1.65pt;height:1.65pt;mso-position-horizontal-relative:page;mso-position-vertical-relative:paragraph;z-index:15742976" id="docshape3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“Directed Trusts and Arizona Law,” State Bar of Arizona, CLE by the Sea, Coronado, California, July 2024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131117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4189pt;width:1.65pt;height:1.65pt;mso-position-horizontal-relative:page;mso-position-vertical-relative:paragraph;z-index:15743488" id="docshape39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2"/>
        </w:rPr>
        <w:t> </w:t>
      </w:r>
      <w:r>
        <w:rPr>
          <w:color w:val="6E6158"/>
        </w:rPr>
        <w:t>“Money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Meaning:</w:t>
      </w:r>
      <w:r>
        <w:rPr>
          <w:color w:val="6E6158"/>
          <w:spacing w:val="77"/>
        </w:rPr>
        <w:t> </w:t>
      </w:r>
      <w:r>
        <w:rPr>
          <w:color w:val="6E6158"/>
        </w:rPr>
        <w:t>Legacy</w:t>
      </w:r>
      <w:r>
        <w:rPr>
          <w:color w:val="6E6158"/>
          <w:spacing w:val="12"/>
        </w:rPr>
        <w:t> </w:t>
      </w:r>
      <w:r>
        <w:rPr>
          <w:color w:val="6E6158"/>
        </w:rPr>
        <w:t>Planning,”</w:t>
      </w:r>
      <w:r>
        <w:rPr>
          <w:color w:val="6E6158"/>
          <w:spacing w:val="12"/>
        </w:rPr>
        <w:t> </w:t>
      </w:r>
      <w:r>
        <w:rPr>
          <w:color w:val="6E6158"/>
        </w:rPr>
        <w:t>ACF</w:t>
      </w:r>
      <w:r>
        <w:rPr>
          <w:color w:val="6E6158"/>
          <w:spacing w:val="12"/>
        </w:rPr>
        <w:t> </w:t>
      </w:r>
      <w:r>
        <w:rPr>
          <w:color w:val="6E6158"/>
        </w:rPr>
        <w:t>Forum</w:t>
      </w:r>
      <w:r>
        <w:rPr>
          <w:color w:val="6E6158"/>
          <w:spacing w:val="12"/>
        </w:rPr>
        <w:t> </w:t>
      </w:r>
      <w:r>
        <w:rPr>
          <w:color w:val="6E6158"/>
        </w:rPr>
        <w:t>Connects,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262812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924pt;width:1.65pt;height:1.65pt;mso-position-horizontal-relative:page;mso-position-vertical-relative:paragraph;z-index:15744000" id="docshape40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“Petter-Based Transactions—Gifts and Sales of Closely Held Businesses with Philanthropic</w:t>
      </w:r>
      <w:r>
        <w:rPr>
          <w:color w:val="6E6158"/>
          <w:spacing w:val="23"/>
        </w:rPr>
        <w:t> </w:t>
      </w:r>
      <w:r>
        <w:rPr>
          <w:color w:val="6E6158"/>
        </w:rPr>
        <w:t>Components”,</w:t>
      </w:r>
      <w:r>
        <w:rPr>
          <w:color w:val="6E6158"/>
          <w:spacing w:val="23"/>
        </w:rPr>
        <w:t> </w:t>
      </w:r>
      <w:r>
        <w:rPr>
          <w:color w:val="6E6158"/>
        </w:rPr>
        <w:t>Arizona</w:t>
      </w:r>
      <w:r>
        <w:rPr>
          <w:color w:val="6E6158"/>
          <w:spacing w:val="23"/>
        </w:rPr>
        <w:t> </w:t>
      </w:r>
      <w:r>
        <w:rPr>
          <w:color w:val="6E6158"/>
        </w:rPr>
        <w:t>Community</w:t>
      </w:r>
      <w:r>
        <w:rPr>
          <w:color w:val="6E6158"/>
          <w:spacing w:val="23"/>
        </w:rPr>
        <w:t> </w:t>
      </w:r>
      <w:r>
        <w:rPr>
          <w:color w:val="6E6158"/>
        </w:rPr>
        <w:t>Foundation</w:t>
      </w:r>
      <w:r>
        <w:rPr>
          <w:color w:val="6E6158"/>
          <w:spacing w:val="23"/>
        </w:rPr>
        <w:t> </w:t>
      </w:r>
      <w:r>
        <w:rPr>
          <w:color w:val="6E6158"/>
        </w:rPr>
        <w:t>(PAB</w:t>
      </w:r>
      <w:r>
        <w:rPr>
          <w:color w:val="6E6158"/>
          <w:spacing w:val="23"/>
        </w:rPr>
        <w:t> </w:t>
      </w:r>
      <w:r>
        <w:rPr>
          <w:color w:val="6E6158"/>
        </w:rPr>
        <w:t>Presentation),</w:t>
      </w:r>
      <w:r>
        <w:rPr>
          <w:color w:val="6E6158"/>
          <w:spacing w:val="23"/>
        </w:rPr>
        <w:t> </w:t>
      </w:r>
      <w:r>
        <w:rPr>
          <w:color w:val="6E6158"/>
        </w:rPr>
        <w:t>January</w:t>
      </w:r>
      <w:r>
        <w:rPr>
          <w:color w:val="6E6158"/>
          <w:spacing w:val="23"/>
        </w:rPr>
        <w:t> </w:t>
      </w:r>
      <w:r>
        <w:rPr>
          <w:color w:val="6E6158"/>
        </w:rPr>
        <w:t>2024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142761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1081pt;width:1.65pt;height:1.65pt;mso-position-horizontal-relative:page;mso-position-vertical-relative:paragraph;z-index:15744512" id="docshape4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“Arizona</w:t>
      </w:r>
      <w:r>
        <w:rPr>
          <w:color w:val="6E6158"/>
          <w:spacing w:val="10"/>
        </w:rPr>
        <w:t> </w:t>
      </w:r>
      <w:r>
        <w:rPr>
          <w:color w:val="6E6158"/>
        </w:rPr>
        <w:t>Directed</w:t>
      </w:r>
      <w:r>
        <w:rPr>
          <w:color w:val="6E6158"/>
          <w:spacing w:val="10"/>
        </w:rPr>
        <w:t> </w:t>
      </w:r>
      <w:r>
        <w:rPr>
          <w:color w:val="6E6158"/>
        </w:rPr>
        <w:t>Trust</w:t>
      </w:r>
      <w:r>
        <w:rPr>
          <w:color w:val="6E6158"/>
          <w:spacing w:val="10"/>
        </w:rPr>
        <w:t> </w:t>
      </w:r>
      <w:r>
        <w:rPr>
          <w:color w:val="6E6158"/>
        </w:rPr>
        <w:t>Act?,”</w:t>
      </w:r>
      <w:r>
        <w:rPr>
          <w:color w:val="6E6158"/>
          <w:spacing w:val="10"/>
        </w:rPr>
        <w:t> </w:t>
      </w:r>
      <w:r>
        <w:rPr>
          <w:color w:val="6E6158"/>
        </w:rPr>
        <w:t>ACTEC,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Chapter,</w:t>
      </w:r>
      <w:r>
        <w:rPr>
          <w:color w:val="6E6158"/>
          <w:spacing w:val="10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263027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0815pt;width:1.65pt;height:1.65pt;mso-position-horizontal-relative:page;mso-position-vertical-relative:paragraph;z-index:15745024" id="docshape42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“Advanced Gifting Techniques that Encourage Philanthropy,” </w:t>
      </w:r>
      <w:r>
        <w:rPr>
          <w:color w:val="6E6158"/>
        </w:rPr>
        <w:t>Arizona Charitable Gift Planners, October 2023</w:t>
      </w:r>
    </w:p>
    <w:p>
      <w:pPr>
        <w:pStyle w:val="BodyText"/>
        <w:spacing w:line="297" w:lineRule="auto" w:before="123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323830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8468pt;width:1.65pt;height:1.65pt;mso-position-horizontal-relative:page;mso-position-vertical-relative:paragraph;z-index:15745536" id="docshape43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Program Co-Chair and Presenter, ARIZONA STATE BAR CONVENTION, “A Five-Course Meal </w:t>
      </w:r>
      <w:r>
        <w:rPr>
          <w:color w:val="6E6158"/>
        </w:rPr>
        <w:t>of Estate Planning Issues, Case and Legislative Updates, Administration Practice Tips, Business</w:t>
      </w:r>
      <w:r>
        <w:rPr>
          <w:color w:val="6E6158"/>
          <w:spacing w:val="40"/>
        </w:rPr>
        <w:t> </w:t>
      </w:r>
      <w:r>
        <w:rPr>
          <w:color w:val="6E6158"/>
        </w:rPr>
        <w:t>and Tax Considerations, and Ethics,” Probate &amp; Trust Law Section, June 2023</w:t>
      </w:r>
    </w:p>
    <w:p>
      <w:pPr>
        <w:pStyle w:val="BodyText"/>
        <w:spacing w:line="292" w:lineRule="auto" w:before="118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227677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7324pt;width:1.65pt;height:1.65pt;mso-position-horizontal-relative:page;mso-position-vertical-relative:paragraph;z-index:15746048" id="docshape44" coordorigin="1670,359" coordsize="33,33" path="m1691,391l1682,391,1678,390,1671,383,1670,379,1670,370,1671,366,1678,360,1682,359,1691,359,1694,360,1701,366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“Income Tax Exit Strategies for Privately Owned Businesses,” American Law Institute (ALI CLE), May 2023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6560" id="docshape4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“Planning Techniques for Large Estates 2023,” American Law Institute (ALI CLE), April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47072" id="docshape4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“Taxing Matters: Income Taxation of Trusts, Estates (advanced fiduciary income tax) and Inherited Retirement Accounts,” State Bar of Arizona, March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142808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792pt;width:1.65pt;height:1.65pt;mso-position-horizontal-relative:page;mso-position-vertical-relative:paragraph;z-index:15747584" id="docshape47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</w:t>
      </w:r>
      <w:r>
        <w:rPr>
          <w:color w:val="6E6158"/>
          <w:spacing w:val="13"/>
        </w:rPr>
        <w:t> </w:t>
      </w:r>
      <w:r>
        <w:rPr>
          <w:color w:val="6E6158"/>
        </w:rPr>
        <w:t>(podcast),</w:t>
      </w:r>
      <w:r>
        <w:rPr>
          <w:color w:val="6E6158"/>
          <w:spacing w:val="14"/>
        </w:rPr>
        <w:t> </w:t>
      </w:r>
      <w:r>
        <w:rPr>
          <w:color w:val="6E6158"/>
        </w:rPr>
        <w:t>“The</w:t>
      </w:r>
      <w:r>
        <w:rPr>
          <w:color w:val="6E6158"/>
          <w:spacing w:val="13"/>
        </w:rPr>
        <w:t> </w:t>
      </w:r>
      <w:r>
        <w:rPr>
          <w:color w:val="6E6158"/>
        </w:rPr>
        <w:t>Separate</w:t>
      </w:r>
      <w:r>
        <w:rPr>
          <w:color w:val="6E6158"/>
          <w:spacing w:val="14"/>
        </w:rPr>
        <w:t> </w:t>
      </w:r>
      <w:r>
        <w:rPr>
          <w:color w:val="6E6158"/>
        </w:rPr>
        <w:t>Share</w:t>
      </w:r>
      <w:r>
        <w:rPr>
          <w:color w:val="6E6158"/>
          <w:spacing w:val="13"/>
        </w:rPr>
        <w:t> </w:t>
      </w:r>
      <w:r>
        <w:rPr>
          <w:color w:val="6E6158"/>
        </w:rPr>
        <w:t>Rules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Their</w:t>
      </w:r>
      <w:r>
        <w:rPr>
          <w:color w:val="6E6158"/>
          <w:spacing w:val="14"/>
        </w:rPr>
        <w:t> </w:t>
      </w:r>
      <w:r>
        <w:rPr>
          <w:color w:val="6E6158"/>
        </w:rPr>
        <w:t>Nuances,”</w:t>
      </w:r>
      <w:r>
        <w:rPr>
          <w:color w:val="6E6158"/>
          <w:spacing w:val="13"/>
        </w:rPr>
        <w:t> </w:t>
      </w:r>
      <w:r>
        <w:rPr>
          <w:color w:val="6E6158"/>
        </w:rPr>
        <w:t>ACTEC,</w:t>
      </w:r>
      <w:r>
        <w:rPr>
          <w:color w:val="6E6158"/>
          <w:spacing w:val="14"/>
        </w:rPr>
        <w:t> </w:t>
      </w:r>
      <w:r>
        <w:rPr>
          <w:color w:val="6E6158"/>
        </w:rPr>
        <w:t>February</w:t>
      </w:r>
      <w:r>
        <w:rPr>
          <w:color w:val="6E6158"/>
          <w:spacing w:val="13"/>
        </w:rPr>
        <w:t> </w:t>
      </w:r>
      <w:r>
        <w:rPr>
          <w:color w:val="6E6158"/>
        </w:rPr>
        <w:t>28,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268154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511pt;width:1.65pt;height:1.65pt;mso-position-horizontal-relative:page;mso-position-vertical-relative:paragraph;z-index:15748096" id="docshape48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Fiduciary Income Tax (Probate Administrator’s Guide to Fiduciary Income Tax (basic</w:t>
      </w:r>
      <w:r>
        <w:rPr>
          <w:color w:val="6E6158"/>
          <w:spacing w:val="40"/>
        </w:rPr>
        <w:t> </w:t>
      </w:r>
      <w:r>
        <w:rPr>
          <w:color w:val="6E6158"/>
        </w:rPr>
        <w:t>to intermediate)), State Bar of Arizona, February 2023</w:t>
      </w:r>
    </w:p>
    <w:p>
      <w:pPr>
        <w:pStyle w:val="BodyText"/>
        <w:spacing w:line="292" w:lineRule="auto" w:before="11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224113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696pt;width:1.65pt;height:1.65pt;mso-position-horizontal-relative:page;mso-position-vertical-relative:paragraph;z-index:15748608" id="docshape49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“When Grantor Trusts Become Non-Grantor Trusts,” Valley Estate </w:t>
      </w:r>
      <w:r>
        <w:rPr>
          <w:color w:val="6E6158"/>
        </w:rPr>
        <w:t>Planners, January 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142795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723pt;width:1.65pt;height:1.65pt;mso-position-horizontal-relative:page;mso-position-vertical-relative:paragraph;z-index:15749120" id="docshape5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3"/>
        </w:rPr>
        <w:t> </w:t>
      </w:r>
      <w:r>
        <w:rPr>
          <w:color w:val="6E6158"/>
        </w:rPr>
        <w:t>“Separate</w:t>
      </w:r>
      <w:r>
        <w:rPr>
          <w:color w:val="6E6158"/>
          <w:spacing w:val="14"/>
        </w:rPr>
        <w:t> </w:t>
      </w:r>
      <w:r>
        <w:rPr>
          <w:color w:val="6E6158"/>
        </w:rPr>
        <w:t>Share</w:t>
      </w:r>
      <w:r>
        <w:rPr>
          <w:color w:val="6E6158"/>
          <w:spacing w:val="14"/>
        </w:rPr>
        <w:t> </w:t>
      </w:r>
      <w:r>
        <w:rPr>
          <w:color w:val="6E6158"/>
        </w:rPr>
        <w:t>Rules,”</w:t>
      </w:r>
      <w:r>
        <w:rPr>
          <w:color w:val="6E6158"/>
          <w:spacing w:val="14"/>
        </w:rPr>
        <w:t> </w:t>
      </w:r>
      <w:r>
        <w:rPr>
          <w:color w:val="6E6158"/>
        </w:rPr>
        <w:t>Fall</w:t>
      </w:r>
      <w:r>
        <w:rPr>
          <w:color w:val="6E6158"/>
          <w:spacing w:val="13"/>
        </w:rPr>
        <w:t> </w:t>
      </w:r>
      <w:r>
        <w:rPr>
          <w:color w:val="6E6158"/>
        </w:rPr>
        <w:t>Meeting,</w:t>
      </w:r>
      <w:r>
        <w:rPr>
          <w:color w:val="6E6158"/>
          <w:spacing w:val="14"/>
        </w:rPr>
        <w:t> </w:t>
      </w:r>
      <w:r>
        <w:rPr>
          <w:color w:val="6E6158"/>
        </w:rPr>
        <w:t>ACTEC,</w:t>
      </w:r>
      <w:r>
        <w:rPr>
          <w:color w:val="6E6158"/>
          <w:spacing w:val="14"/>
        </w:rPr>
        <w:t> </w:t>
      </w:r>
      <w:r>
        <w:rPr>
          <w:color w:val="6E6158"/>
        </w:rPr>
        <w:t>San</w:t>
      </w:r>
      <w:r>
        <w:rPr>
          <w:color w:val="6E6158"/>
          <w:spacing w:val="14"/>
        </w:rPr>
        <w:t> </w:t>
      </w:r>
      <w:r>
        <w:rPr>
          <w:color w:val="6E6158"/>
        </w:rPr>
        <w:t>Francisco,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268142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3619pt;width:1.65pt;height:1.65pt;mso-position-horizontal-relative:page;mso-position-vertical-relative:paragraph;z-index:15749632" id="docshape51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for the Family Business Owner 2022,” American Law Institute </w:t>
      </w:r>
      <w:r>
        <w:rPr>
          <w:color w:val="6E6158"/>
        </w:rPr>
        <w:t>(ALI CLE), October 2022</w:t>
      </w:r>
    </w:p>
    <w:p>
      <w:pPr>
        <w:pStyle w:val="BodyText"/>
        <w:spacing w:line="292" w:lineRule="auto" w:before="12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230855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7635pt;width:1.65pt;height:1.65pt;mso-position-horizontal-relative:page;mso-position-vertical-relative:paragraph;z-index:15750144" id="docshape52" coordorigin="1670,364" coordsize="33,33" path="m1691,396l1682,396,1678,395,1671,388,1670,384,1670,375,1671,371,1678,365,1682,364,1691,364,1694,365,1701,371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“Estate Planning Updates: Gift, Estate, GST, and Fiduciary Income Tax,” Arizona Society of CPAs’ Annual Conference, November 2021</w:t>
      </w:r>
    </w:p>
    <w:p>
      <w:pPr>
        <w:spacing w:line="278" w:lineRule="auto" w:before="12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236201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513pt;width:1.65pt;height:1.65pt;mso-position-horizontal-relative:page;mso-position-vertical-relative:paragraph;z-index:15750656" id="docshape5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Vols. 1 and 2 supplements, </w:t>
      </w:r>
      <w:r>
        <w:rPr>
          <w:color w:val="6E6158"/>
          <w:sz w:val="19"/>
        </w:rPr>
        <w:t>2020 and 2021</w:t>
      </w:r>
    </w:p>
    <w:p>
      <w:pPr>
        <w:pStyle w:val="BodyText"/>
        <w:spacing w:line="302" w:lineRule="auto" w:before="13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241867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44664pt;width:1.65pt;height:1.65pt;mso-position-horizontal-relative:page;mso-position-vertical-relative:paragraph;z-index:15751168" id="docshape54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“Qualified Small Business Stock,” AZCLE Entity Selection and Issues for the </w:t>
      </w:r>
      <w:r>
        <w:rPr>
          <w:color w:val="6E6158"/>
        </w:rPr>
        <w:t>Estate Planner, sponsored by the State Bar of Arizona, October 13, 2020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223860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85pt;width:1.65pt;height:1.65pt;mso-position-horizontal-relative:page;mso-position-vertical-relative:paragraph;z-index:15751680" id="docshape55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Cont</w:t>
        </w:r>
      </w:hyperlink>
      <w:hyperlink r:id="rId12">
        <w:r>
          <w:rPr>
            <w:color w:val="FF8100"/>
          </w:rPr>
          <w:t>ributing a</w:t>
        </w:r>
      </w:hyperlink>
      <w:hyperlink r:id="rId12">
        <w:r>
          <w:rPr>
            <w:color w:val="FF8100"/>
          </w:rPr>
          <w:t>uthor, “Recent Tax Developments – 2020 April – Refresher on Benefits Under The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CARES Act,” Fennemore Client Alert, May 4, 2020</w:t>
        </w:r>
      </w:hyperlink>
    </w:p>
    <w:p>
      <w:pPr>
        <w:pStyle w:val="BodyText"/>
        <w:spacing w:line="302" w:lineRule="auto" w:before="124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236190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698pt;width:1.65pt;height:1.65pt;mso-position-horizontal-relative:page;mso-position-vertical-relative:paragraph;z-index:15752192" id="docshape5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Co-author, “IRS and the Arizona Department of Revenue Extend Tax Filing Deadlines to July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15,” Fennemore Client Alert, March 26, 2020</w:t>
        </w:r>
      </w:hyperlink>
    </w:p>
    <w:p>
      <w:pPr>
        <w:pStyle w:val="BodyText"/>
        <w:spacing w:line="292" w:lineRule="auto" w:before="112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223899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91pt;width:1.65pt;height:1.65pt;mso-position-horizontal-relative:page;mso-position-vertical-relative:paragraph;z-index:15752704" id="docshape57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Contributing a</w:t>
        </w:r>
      </w:hyperlink>
      <w:hyperlink r:id="rId14">
        <w:r>
          <w:rPr>
            <w:color w:val="FF8100"/>
          </w:rPr>
          <w:t>uthor, “Recent Tax Developments – 2020 January – The SECURE Act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(Individuals),” Fennemore Client Alert, January 9, 2020</w:t>
        </w:r>
      </w:hyperlink>
    </w:p>
    <w:p>
      <w:pPr>
        <w:pStyle w:val="BodyText"/>
        <w:spacing w:line="302" w:lineRule="auto" w:before="124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236229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763pt;width:1.65pt;height:1.65pt;mso-position-horizontal-relative:page;mso-position-vertical-relative:paragraph;z-index:15753216" id="docshape5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Contributing a</w:t>
        </w:r>
      </w:hyperlink>
      <w:hyperlink r:id="rId15">
        <w:r>
          <w:rPr>
            <w:color w:val="FF8100"/>
          </w:rPr>
          <w:t>uthor, “End of Year Tax Saving Moves – 2019,” Fennemore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Client Alert</w:t>
        </w:r>
      </w:hyperlink>
      <w:hyperlink r:id="rId15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December 30, 2019</w:t>
        </w:r>
      </w:hyperlink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223938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977pt;width:1.65pt;height:1.65pt;mso-position-horizontal-relative:page;mso-position-vertical-relative:paragraph;z-index:15753728" id="docshape5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Contributing a</w:t>
        </w:r>
      </w:hyperlink>
      <w:hyperlink r:id="rId17">
        <w:r>
          <w:rPr>
            <w:color w:val="FF8100"/>
          </w:rPr>
          <w:t>uthor, “Recent Tax Developments – December 2019,” Fennemore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Client Alert</w:t>
        </w:r>
      </w:hyperlink>
      <w:hyperlink r:id="rId16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December 23, 2019</w:t>
        </w:r>
      </w:hyperlink>
    </w:p>
    <w:p>
      <w:pPr>
        <w:pStyle w:val="BodyText"/>
        <w:spacing w:line="302" w:lineRule="auto" w:before="124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236268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832pt;width:1.65pt;height:1.65pt;mso-position-horizontal-relative:page;mso-position-vertical-relative:paragraph;z-index:15754240" id="docshape6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for the Family Business Owner 2019,” American Law Institute </w:t>
      </w:r>
      <w:r>
        <w:rPr>
          <w:color w:val="6E6158"/>
        </w:rPr>
        <w:t>(ALI CLE), October 2019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223975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853pt;width:1.65pt;height:1.65pt;mso-position-horizontal-relative:page;mso-position-vertical-relative:paragraph;z-index:15754752" id="docshape6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Contributing a</w:t>
        </w:r>
      </w:hyperlink>
      <w:hyperlink r:id="rId19">
        <w:r>
          <w:rPr>
            <w:color w:val="FF8100"/>
          </w:rPr>
          <w:t>uthor, “Recent Tax Developments – 2019 April,” Fennemore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Client Alert</w:t>
        </w:r>
      </w:hyperlink>
      <w:hyperlink r:id="rId18">
        <w:r>
          <w:rPr>
            <w:color w:val="FF8100"/>
          </w:rPr>
          <w:t>, April 16,</w:t>
        </w:r>
      </w:hyperlink>
      <w:r>
        <w:rPr>
          <w:color w:val="FF8100"/>
        </w:rPr>
        <w:t> </w:t>
      </w:r>
      <w:hyperlink r:id="rId18">
        <w:r>
          <w:rPr>
            <w:color w:val="FF8100"/>
            <w:spacing w:val="-4"/>
          </w:rPr>
          <w:t>2019</w:t>
        </w:r>
      </w:hyperlink>
    </w:p>
    <w:p>
      <w:pPr>
        <w:spacing w:line="278" w:lineRule="auto" w:before="12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236305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707pt;width:1.65pt;height:1.65pt;mso-position-horizontal-relative:page;mso-position-vertical-relative:paragraph;z-index:15755264" id="docshape6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Vol. 1 supplement and new Vol. 2, </w:t>
      </w:r>
      <w:r>
        <w:rPr>
          <w:color w:val="6E6158"/>
          <w:sz w:val="19"/>
        </w:rPr>
        <w:t>2019</w:t>
      </w:r>
    </w:p>
    <w:p>
      <w:pPr>
        <w:spacing w:line="278" w:lineRule="auto" w:before="123"/>
        <w:ind w:left="351" w:right="31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236806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46215pt;width:1.65pt;height:1.65pt;mso-position-horizontal-relative:page;mso-position-vertical-relative:paragraph;z-index:15755776" id="docshape63" coordorigin="1670,373" coordsize="33,33" path="m1691,405l1682,405,1678,404,1671,398,1670,394,1670,385,1671,381,1678,375,1682,373,1691,373,1694,375,1701,381,1702,385,1702,389,1702,394,1701,398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“End-of-year Business Advice for Northern Nevada Businesses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December 11, 2018</w:t>
      </w:r>
    </w:p>
    <w:p>
      <w:pPr>
        <w:pStyle w:val="BodyText"/>
        <w:spacing w:line="292" w:lineRule="auto" w:before="141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241840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42549pt;width:1.65pt;height:1.65pt;mso-position-horizontal-relative:page;mso-position-vertical-relative:paragraph;z-index:15756288" id="docshape64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“Recent Tax Developments – 2018 August,” Fennemore Client </w:t>
      </w:r>
      <w:r>
        <w:rPr>
          <w:color w:val="6E6158"/>
        </w:rPr>
        <w:t>Alert, August 8, 2018</w:t>
      </w:r>
    </w:p>
    <w:p>
      <w:pPr>
        <w:pStyle w:val="BodyText"/>
        <w:spacing w:line="29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230588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6578pt;width:1.65pt;height:1.65pt;mso-position-horizontal-relative:page;mso-position-vertical-relative:paragraph;z-index:15756800" id="docshape6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Contributing a</w:t>
        </w:r>
      </w:hyperlink>
      <w:hyperlink r:id="rId21">
        <w:r>
          <w:rPr>
            <w:color w:val="FF8100"/>
          </w:rPr>
          <w:t>uthor, “Recent Tax Developments – 2018 July,” Fennemore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Client Alert</w:t>
        </w:r>
      </w:hyperlink>
      <w:hyperlink r:id="rId20">
        <w:r>
          <w:rPr>
            <w:color w:val="FF8100"/>
          </w:rPr>
          <w:t>, July 2,</w:t>
        </w:r>
      </w:hyperlink>
      <w:r>
        <w:rPr>
          <w:color w:val="FF8100"/>
        </w:rPr>
        <w:t> </w:t>
      </w:r>
      <w:hyperlink r:id="rId20"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292" w:lineRule="auto" w:before="131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235933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433pt;width:1.65pt;height:1.65pt;mso-position-horizontal-relative:page;mso-position-vertical-relative:paragraph;z-index:15757312" id="docshape66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Interview, “The New Partnership Audit Rules and Why They Are So Important For </w:t>
        </w:r>
        <w:r>
          <w:rPr>
            <w:color w:val="FF8100"/>
          </w:rPr>
          <w:t>Estate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Planners,” ACTEC, June 12, 2018</w:t>
        </w:r>
      </w:hyperlink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7824" id="docshape6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“Digital Assets,” The Arizona Fiduciaries Association 2018 Spring Conference, April </w:t>
      </w:r>
      <w:r>
        <w:rPr>
          <w:color w:val="6E6158"/>
        </w:rPr>
        <w:t>20,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32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58336" id="docshape6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F8100"/>
          </w:rPr>
          <w:t>Co-author, “Recent Tax Developments – 2018 January,” Fennemore</w:t>
        </w:r>
      </w:hyperlink>
      <w:r>
        <w:rPr>
          <w:color w:val="FF8100"/>
        </w:rPr>
        <w:t> </w:t>
      </w:r>
      <w:hyperlink r:id="rId24">
        <w:r>
          <w:rPr>
            <w:color w:val="FF8100"/>
          </w:rPr>
          <w:t>Client Alert</w:t>
        </w:r>
      </w:hyperlink>
      <w:hyperlink r:id="rId25">
        <w:r>
          <w:rPr>
            <w:color w:val="FF8100"/>
          </w:rPr>
          <w:t>, January 23,</w:t>
        </w:r>
      </w:hyperlink>
      <w:r>
        <w:rPr>
          <w:color w:val="FF8100"/>
        </w:rPr>
        <w:t> </w:t>
      </w:r>
      <w:hyperlink r:id="rId25"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142811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974pt;width:1.65pt;height:1.65pt;mso-position-horizontal-relative:page;mso-position-vertical-relative:paragraph;z-index:15758848" id="docshape69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3"/>
        </w:rPr>
        <w:t> </w:t>
      </w:r>
      <w:r>
        <w:rPr>
          <w:color w:val="6E6158"/>
        </w:rPr>
        <w:t>“Partnership</w:t>
      </w:r>
      <w:r>
        <w:rPr>
          <w:color w:val="6E6158"/>
          <w:spacing w:val="14"/>
        </w:rPr>
        <w:t> </w:t>
      </w:r>
      <w:r>
        <w:rPr>
          <w:color w:val="6E6158"/>
        </w:rPr>
        <w:t>Audit</w:t>
      </w:r>
      <w:r>
        <w:rPr>
          <w:color w:val="6E6158"/>
          <w:spacing w:val="13"/>
        </w:rPr>
        <w:t> </w:t>
      </w:r>
      <w:r>
        <w:rPr>
          <w:color w:val="6E6158"/>
        </w:rPr>
        <w:t>Rules,”</w:t>
      </w:r>
      <w:r>
        <w:rPr>
          <w:color w:val="6E6158"/>
          <w:spacing w:val="14"/>
        </w:rPr>
        <w:t> </w:t>
      </w:r>
      <w:r>
        <w:rPr>
          <w:color w:val="6E6158"/>
        </w:rPr>
        <w:t>Summer</w:t>
      </w:r>
      <w:r>
        <w:rPr>
          <w:color w:val="6E6158"/>
          <w:spacing w:val="13"/>
        </w:rPr>
        <w:t> </w:t>
      </w:r>
      <w:r>
        <w:rPr>
          <w:color w:val="6E6158"/>
        </w:rPr>
        <w:t>Meeting,</w:t>
      </w:r>
      <w:r>
        <w:rPr>
          <w:color w:val="6E6158"/>
          <w:spacing w:val="14"/>
        </w:rPr>
        <w:t> </w:t>
      </w:r>
      <w:r>
        <w:rPr>
          <w:color w:val="6E6158"/>
        </w:rPr>
        <w:t>ACTEC,</w:t>
      </w:r>
      <w:r>
        <w:rPr>
          <w:color w:val="6E6158"/>
          <w:spacing w:val="13"/>
        </w:rPr>
        <w:t> </w:t>
      </w:r>
      <w:r>
        <w:rPr>
          <w:color w:val="6E6158"/>
        </w:rPr>
        <w:t>Chicago,</w:t>
      </w:r>
      <w:r>
        <w:rPr>
          <w:color w:val="6E6158"/>
          <w:spacing w:val="14"/>
        </w:rPr>
        <w:t> </w:t>
      </w:r>
      <w:r>
        <w:rPr>
          <w:color w:val="6E6158"/>
        </w:rPr>
        <w:t>Illinois,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268156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687pt;width:1.65pt;height:1.65pt;mso-position-horizontal-relative:page;mso-position-vertical-relative:paragraph;z-index:15759360" id="docshape70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F8100"/>
          </w:rPr>
          <w:t>Contributing a</w:t>
        </w:r>
      </w:hyperlink>
      <w:hyperlink r:id="rId27">
        <w:r>
          <w:rPr>
            <w:color w:val="FF8100"/>
          </w:rPr>
          <w:t>uthor, “Tax Planning Checklists – 2017 End of Year,” Fennemore</w:t>
        </w:r>
      </w:hyperlink>
      <w:r>
        <w:rPr>
          <w:color w:val="FF8100"/>
        </w:rPr>
        <w:t> </w:t>
      </w:r>
      <w:hyperlink r:id="rId26">
        <w:r>
          <w:rPr>
            <w:color w:val="FF8100"/>
          </w:rPr>
          <w:t>Client Alert</w:t>
        </w:r>
      </w:hyperlink>
      <w:hyperlink r:id="rId26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26">
        <w:r>
          <w:rPr>
            <w:color w:val="FF8100"/>
          </w:rPr>
          <w:t>October 16, 2017</w:t>
        </w:r>
      </w:hyperlink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224113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696pt;width:1.65pt;height:1.65pt;mso-position-horizontal-relative:page;mso-position-vertical-relative:paragraph;z-index:15759872" id="docshape71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Contributing a</w:t>
        </w:r>
      </w:hyperlink>
      <w:hyperlink r:id="rId29">
        <w:r>
          <w:rPr>
            <w:color w:val="FF8100"/>
          </w:rPr>
          <w:t>uthor, “Recent Tax Developments – 2017 April,” Fennemore</w:t>
        </w:r>
      </w:hyperlink>
      <w:r>
        <w:rPr>
          <w:color w:val="FF8100"/>
        </w:rPr>
        <w:t> </w:t>
      </w:r>
      <w:hyperlink r:id="rId28">
        <w:r>
          <w:rPr>
            <w:color w:val="FF8100"/>
          </w:rPr>
          <w:t>Client Alert</w:t>
        </w:r>
      </w:hyperlink>
      <w:hyperlink r:id="rId28">
        <w:r>
          <w:rPr>
            <w:color w:val="FF8100"/>
          </w:rPr>
          <w:t>, April 12,</w:t>
        </w:r>
      </w:hyperlink>
      <w:r>
        <w:rPr>
          <w:color w:val="FF8100"/>
        </w:rPr>
        <w:t> </w:t>
      </w:r>
      <w:hyperlink r:id="rId28">
        <w:r>
          <w:rPr>
            <w:color w:val="FF8100"/>
            <w:spacing w:val="-4"/>
          </w:rPr>
          <w:t>2017</w:t>
        </w:r>
      </w:hyperlink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142797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912pt;width:1.65pt;height:1.65pt;mso-position-horizontal-relative:page;mso-position-vertical-relative:paragraph;z-index:15760384" id="docshape7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2017</w:t>
      </w:r>
      <w:r>
        <w:rPr>
          <w:color w:val="6E6158"/>
          <w:spacing w:val="9"/>
        </w:rPr>
        <w:t> </w:t>
      </w:r>
      <w:r>
        <w:rPr>
          <w:color w:val="6E6158"/>
        </w:rPr>
        <w:t>Women’s</w:t>
      </w:r>
      <w:r>
        <w:rPr>
          <w:color w:val="6E6158"/>
          <w:spacing w:val="9"/>
        </w:rPr>
        <w:t> </w:t>
      </w:r>
      <w:r>
        <w:rPr>
          <w:color w:val="6E6158"/>
        </w:rPr>
        <w:t>Financial</w:t>
      </w:r>
      <w:r>
        <w:rPr>
          <w:color w:val="6E6158"/>
          <w:spacing w:val="9"/>
        </w:rPr>
        <w:t> </w:t>
      </w:r>
      <w:r>
        <w:rPr>
          <w:color w:val="6E6158"/>
        </w:rPr>
        <w:t>Forum,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Bank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Trust,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8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268145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381pt;width:1.65pt;height:1.65pt;mso-position-horizontal-relative:page;mso-position-vertical-relative:paragraph;z-index:15760896" id="docshape7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“Hot Topics in Contemporary Estate Planning (including Ron Aucutt),” sponsored </w:t>
      </w:r>
      <w:r>
        <w:rPr>
          <w:color w:val="6E6158"/>
        </w:rPr>
        <w:t>by the State Bar of Arizona, 2017</w:t>
      </w:r>
    </w:p>
    <w:p>
      <w:pPr>
        <w:pStyle w:val="BodyText"/>
        <w:spacing w:line="292" w:lineRule="auto" w:before="123"/>
        <w:ind w:right="1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230855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7635pt;width:1.65pt;height:1.65pt;mso-position-horizontal-relative:page;mso-position-vertical-relative:paragraph;z-index:15761408" id="docshape74" coordorigin="1670,364" coordsize="33,33" path="m1691,396l1682,396,1678,395,1671,388,1670,384,1670,375,1671,371,1678,365,1682,364,1691,364,1694,365,1701,371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 and Panelist, various trusts, estates, and tax seminars, National Video Broadcasts, NBI,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2016-present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236203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688pt;width:1.65pt;height:1.65pt;mso-position-horizontal-relative:page;mso-position-vertical-relative:paragraph;z-index:15761920" id="docshape7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“Tax Planning Checklists – 2016 End of Year,” Fennemore Client Alert, November 4, 2016</w:t>
      </w:r>
    </w:p>
    <w:p>
      <w:pPr>
        <w:pStyle w:val="BodyText"/>
        <w:spacing w:line="30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235830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361pt;width:1.65pt;height:1.65pt;mso-position-horizontal-relative:page;mso-position-vertical-relative:paragraph;z-index:15762432" id="docshape7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0">
        <w:r>
          <w:rPr>
            <w:color w:val="FF8100"/>
          </w:rPr>
          <w:t>Contributing a</w:t>
        </w:r>
      </w:hyperlink>
      <w:hyperlink r:id="rId31">
        <w:r>
          <w:rPr>
            <w:color w:val="FF8100"/>
          </w:rPr>
          <w:t>uthor, “Recent Tax Developments – October 2016,” Fennemore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Client </w:t>
        </w:r>
        <w:r>
          <w:rPr>
            <w:color w:val="FF8100"/>
          </w:rPr>
          <w:t>Alert</w:t>
        </w:r>
      </w:hyperlink>
      <w:hyperlink r:id="rId30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October 26, 2016</w:t>
        </w:r>
      </w:hyperlink>
    </w:p>
    <w:p>
      <w:pPr>
        <w:pStyle w:val="BodyText"/>
        <w:spacing w:line="292" w:lineRule="auto" w:before="11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224177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752pt;width:1.65pt;height:1.65pt;mso-position-horizontal-relative:page;mso-position-vertical-relative:paragraph;z-index:15762944" id="docshape7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2">
        <w:r>
          <w:rPr>
            <w:color w:val="FF8100"/>
          </w:rPr>
          <w:t>Contributing a</w:t>
        </w:r>
      </w:hyperlink>
      <w:hyperlink r:id="rId33">
        <w:r>
          <w:rPr>
            <w:color w:val="FF8100"/>
          </w:rPr>
          <w:t>uthor, “Valuation Discounts: Going, Going,…” Fennemore</w:t>
        </w:r>
      </w:hyperlink>
      <w:r>
        <w:rPr>
          <w:color w:val="FF8100"/>
        </w:rPr>
        <w:t> </w:t>
      </w:r>
      <w:hyperlink r:id="rId32">
        <w:r>
          <w:rPr>
            <w:color w:val="FF8100"/>
          </w:rPr>
          <w:t>Client </w:t>
        </w:r>
        <w:r>
          <w:rPr>
            <w:color w:val="FF8100"/>
          </w:rPr>
          <w:t>Alert</w:t>
        </w:r>
      </w:hyperlink>
      <w:hyperlink r:id="rId32">
        <w:r>
          <w:rPr>
            <w:color w:val="FF8100"/>
          </w:rPr>
          <w:t>,</w:t>
        </w:r>
      </w:hyperlink>
      <w:r>
        <w:rPr>
          <w:color w:val="FF8100"/>
        </w:rPr>
        <w:t> </w:t>
      </w:r>
      <w:hyperlink r:id="rId32">
        <w:r>
          <w:rPr>
            <w:color w:val="FF8100"/>
          </w:rPr>
          <w:t>September 19, 2016</w:t>
        </w:r>
      </w:hyperlink>
    </w:p>
    <w:p>
      <w:pPr>
        <w:pStyle w:val="BodyText"/>
        <w:spacing w:line="295" w:lineRule="auto" w:before="123"/>
        <w:ind w:right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504569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729897pt;width:1.65pt;height:1.65pt;mso-position-horizontal-relative:page;mso-position-vertical-relative:paragraph;z-index:15763456" id="docshape78" coordorigin="1670,795" coordsize="33,33" path="m1691,827l1682,827,1678,826,1671,819,1670,815,1670,806,1671,803,1678,796,1682,795,1691,795,1694,796,1701,803,1702,806,1702,811,1702,815,1701,819,1694,826,1691,8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Moderator, and Seminar Chair, “Probate and Estate Law, and Elder and Mental</w:t>
      </w:r>
      <w:r>
        <w:rPr>
          <w:color w:val="6E6158"/>
          <w:spacing w:val="80"/>
        </w:rPr>
        <w:t> </w:t>
      </w:r>
      <w:r>
        <w:rPr>
          <w:color w:val="6E6158"/>
        </w:rPr>
        <w:t>Health Care Law: A Multi-Disciplinary Approach (Practical Estate Planning and </w:t>
      </w:r>
      <w:r>
        <w:rPr>
          <w:color w:val="6E6158"/>
        </w:rPr>
        <w:t>Administration;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Planning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Corporations,</w:t>
      </w:r>
      <w:r>
        <w:rPr>
          <w:color w:val="6E6158"/>
          <w:spacing w:val="35"/>
        </w:rPr>
        <w:t> </w:t>
      </w:r>
      <w:r>
        <w:rPr>
          <w:color w:val="6E6158"/>
        </w:rPr>
        <w:t>LLCs,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Partnerships;</w:t>
      </w:r>
      <w:r>
        <w:rPr>
          <w:color w:val="6E6158"/>
          <w:spacing w:val="35"/>
        </w:rPr>
        <w:t> </w:t>
      </w:r>
      <w:r>
        <w:rPr>
          <w:color w:val="6E6158"/>
        </w:rPr>
        <w:t>Elder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Special</w:t>
      </w:r>
      <w:r>
        <w:rPr>
          <w:color w:val="6E6158"/>
          <w:spacing w:val="35"/>
        </w:rPr>
        <w:t> </w:t>
      </w:r>
      <w:r>
        <w:rPr>
          <w:color w:val="6E6158"/>
        </w:rPr>
        <w:t>Needs</w:t>
      </w:r>
      <w:r>
        <w:rPr>
          <w:color w:val="6E6158"/>
          <w:spacing w:val="35"/>
        </w:rPr>
        <w:t> </w:t>
      </w:r>
      <w:r>
        <w:rPr>
          <w:color w:val="6E6158"/>
        </w:rPr>
        <w:t>Planning for the Modest and the Affluent; and Digital Assets),” CLE by the Sea, Coronado, California,</w:t>
      </w:r>
      <w:r>
        <w:rPr>
          <w:color w:val="6E6158"/>
          <w:spacing w:val="40"/>
        </w:rPr>
        <w:t> </w:t>
      </w:r>
      <w:r>
        <w:rPr>
          <w:color w:val="6E6158"/>
        </w:rPr>
        <w:t>sponsored by the State Bar of Arizona, July 2016</w:t>
      </w:r>
    </w:p>
    <w:p>
      <w:pPr>
        <w:pStyle w:val="BodyText"/>
        <w:spacing w:line="292" w:lineRule="auto" w:before="130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234978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02268pt;width:1.65pt;height:1.65pt;mso-position-horizontal-relative:page;mso-position-vertical-relative:paragraph;z-index:15763968" id="docshape79" coordorigin="1670,370" coordsize="33,33" path="m1691,403l1682,403,1678,401,1671,395,1670,391,1670,382,1671,378,1678,372,1682,370,1691,370,1694,372,1701,378,1702,382,1702,386,1702,391,1701,395,1694,401,1691,4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“Partnership Tax Allocations, and Implications of the Repeal of TEFRA,” </w:t>
      </w:r>
      <w:r>
        <w:rPr>
          <w:color w:val="6E6158"/>
        </w:rPr>
        <w:t>Business Planning Committee, Summer Meeting, ACTEC, Boston, Massachusetts, 2016</w:t>
      </w:r>
    </w:p>
    <w:p>
      <w:pPr>
        <w:pStyle w:val="BodyText"/>
        <w:spacing w:line="292" w:lineRule="auto" w:before="12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230709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6105pt;width:1.65pt;height:1.65pt;mso-position-horizontal-relative:page;mso-position-vertical-relative:paragraph;z-index:15764480" id="docshape8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“Section 642(c) Charitable Deduction and Tracing,” Fiduciary Income </w:t>
      </w:r>
      <w:r>
        <w:rPr>
          <w:color w:val="6E6158"/>
        </w:rPr>
        <w:t>Tax Committee, Annual Meeting, ACTEC, Las Vegas, Nevada, 2016</w:t>
      </w:r>
    </w:p>
    <w:p>
      <w:pPr>
        <w:spacing w:line="288" w:lineRule="auto" w:before="121"/>
        <w:ind w:left="351" w:right="1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236051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767pt;width:1.65pt;height:1.65pt;mso-position-horizontal-relative:page;mso-position-vertical-relative:paragraph;z-index:15764992" id="docshape8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“Best Practices for Structuring Trusts and Estates,” </w:t>
      </w:r>
      <w:r>
        <w:rPr>
          <w:i/>
          <w:color w:val="6E6158"/>
          <w:sz w:val="20"/>
        </w:rPr>
        <w:t>Thomson Reuters (Aspatore), </w:t>
      </w:r>
      <w:r>
        <w:rPr>
          <w:color w:val="6E6158"/>
          <w:sz w:val="19"/>
        </w:rPr>
        <w:t>2016 </w:t>
      </w:r>
      <w:r>
        <w:rPr>
          <w:color w:val="6E6158"/>
          <w:spacing w:val="-2"/>
          <w:sz w:val="19"/>
        </w:rPr>
        <w:t>edition</w:t>
      </w:r>
    </w:p>
    <w:p>
      <w:pPr>
        <w:pStyle w:val="BodyText"/>
        <w:spacing w:line="302" w:lineRule="auto" w:before="128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239244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38125pt;width:1.65pt;height:1.65pt;mso-position-horizontal-relative:page;mso-position-vertical-relative:paragraph;z-index:15765504" id="docshape82" coordorigin="1670,377" coordsize="33,33" path="m1691,409l1682,409,1678,408,1671,401,1670,398,1670,389,1671,385,1678,378,1682,377,1691,377,1694,378,1701,385,1702,389,1702,393,1702,398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“Recent Tax Developments – January 2016,” Fennemore Client Alert, January 14,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1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224410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0099pt;width:1.65pt;height:1.65pt;mso-position-horizontal-relative:page;mso-position-vertical-relative:paragraph;z-index:15766016" id="docshape8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“Surface Transportation and Veterans Health Care Choice </w:t>
      </w:r>
      <w:r>
        <w:rPr>
          <w:color w:val="6E6158"/>
        </w:rPr>
        <w:t>Improvement Act of 2015,” Fennemore Client Alert, August 12, 2015</w:t>
      </w:r>
    </w:p>
    <w:p>
      <w:pPr>
        <w:pStyle w:val="BodyText"/>
        <w:spacing w:line="30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236108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194pt;width:1.65pt;height:1.65pt;mso-position-horizontal-relative:page;mso-position-vertical-relative:paragraph;z-index:15766528" id="docshape8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“2015 Second Quarter Tax Developments,” Fennemore Client Alert, </w:t>
      </w:r>
      <w:r>
        <w:rPr>
          <w:color w:val="6E6158"/>
        </w:rPr>
        <w:t>July 20, 2015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131436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9352pt;width:1.65pt;height:1.65pt;mso-position-horizontal-relative:page;mso-position-vertical-relative:paragraph;z-index:15767040" id="docshape85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</w:t>
      </w:r>
      <w:r>
        <w:rPr>
          <w:color w:val="6E6158"/>
          <w:spacing w:val="9"/>
        </w:rPr>
        <w:t> </w: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“Tax</w:t>
      </w:r>
      <w:r>
        <w:rPr>
          <w:color w:val="6E6158"/>
          <w:spacing w:val="10"/>
        </w:rPr>
        <w:t> </w:t>
      </w:r>
      <w:r>
        <w:rPr>
          <w:color w:val="6E6158"/>
        </w:rPr>
        <w:t>Developments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First</w:t>
      </w:r>
      <w:r>
        <w:rPr>
          <w:color w:val="6E6158"/>
          <w:spacing w:val="10"/>
        </w:rPr>
        <w:t> </w:t>
      </w:r>
      <w:r>
        <w:rPr>
          <w:color w:val="6E6158"/>
        </w:rPr>
        <w:t>Quarter</w:t>
      </w:r>
      <w:r>
        <w:rPr>
          <w:color w:val="6E6158"/>
          <w:spacing w:val="10"/>
        </w:rPr>
        <w:t> </w:t>
      </w:r>
      <w:r>
        <w:rPr>
          <w:color w:val="6E6158"/>
        </w:rPr>
        <w:t>2015,”</w:t>
      </w:r>
      <w:r>
        <w:rPr>
          <w:color w:val="6E6158"/>
          <w:spacing w:val="10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29,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74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263133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9206pt;width:1.65pt;height:1.65pt;mso-position-horizontal-relative:page;mso-position-vertical-relative:paragraph;z-index:15767552" id="docshape86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“Families of Those With Disabilities: New ‘Able Accounts’,” </w:t>
      </w:r>
      <w:r>
        <w:rPr>
          <w:color w:val="6E6158"/>
        </w:rPr>
        <w:t>Fennemore Client Alert, April 1, 2015</w:t>
      </w:r>
    </w:p>
    <w:p>
      <w:pPr>
        <w:pStyle w:val="BodyText"/>
        <w:spacing w:line="292" w:lineRule="auto" w:before="132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236096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3pt;width:1.65pt;height:1.65pt;mso-position-horizontal-relative:page;mso-position-vertical-relative:paragraph;z-index:15768064" id="docshape8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“Tax Developments in February 2015,” Fennemore Client Alert, March 1, </w:t>
      </w:r>
      <w:r>
        <w:rPr>
          <w:color w:val="6E6158"/>
          <w:spacing w:val="-4"/>
        </w:rPr>
        <w:t>2015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8576" id="docshape8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</w:t>
      </w:r>
      <w:r>
        <w:rPr>
          <w:color w:val="6E6158"/>
          <w:spacing w:val="11"/>
        </w:rPr>
        <w:t> </w: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“Tax</w:t>
      </w:r>
      <w:r>
        <w:rPr>
          <w:color w:val="6E6158"/>
          <w:spacing w:val="12"/>
        </w:rPr>
        <w:t> </w:t>
      </w:r>
      <w:r>
        <w:rPr>
          <w:color w:val="6E6158"/>
        </w:rPr>
        <w:t>Developments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2015,”</w:t>
      </w:r>
      <w:r>
        <w:rPr>
          <w:color w:val="6E6158"/>
          <w:spacing w:val="12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Alert,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2015</w:t>
      </w:r>
    </w:p>
    <w:p>
      <w:pPr>
        <w:spacing w:line="285" w:lineRule="auto"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268350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997pt;width:1.65pt;height:1.65pt;mso-position-horizontal-relative:page;mso-position-vertical-relative:paragraph;z-index:15769088" id="docshape8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Vol. 1, </w:t>
      </w:r>
      <w:r>
        <w:rPr>
          <w:color w:val="6E6158"/>
          <w:sz w:val="19"/>
        </w:rPr>
        <w:t>2015 supplement</w:t>
      </w:r>
    </w:p>
    <w:p>
      <w:pPr>
        <w:pStyle w:val="BodyText"/>
        <w:spacing w:line="292" w:lineRule="auto" w:before="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232837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33652pt;width:1.65pt;height:1.65pt;mso-position-horizontal-relative:page;mso-position-vertical-relative:paragraph;z-index:15769600" id="docshape90" coordorigin="1670,367" coordsize="33,33" path="m1691,399l1682,399,1678,398,1671,391,1670,387,1670,378,1671,375,1678,368,1682,367,1691,367,1694,368,1701,375,1702,378,1702,383,1702,387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“Sophisticated Estate Planning: GRATs, Sales to Grantor Trusts, CRTs, CLTs, Asset Allocations, Fiscal Year Planning, and DNI,” Valley Estate Planners, 2015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143266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0858pt;width:1.65pt;height:1.65pt;mso-position-horizontal-relative:page;mso-position-vertical-relative:paragraph;z-index:15770112" id="docshape91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</w:t>
      </w:r>
      <w:r>
        <w:rPr>
          <w:color w:val="6E6158"/>
          <w:spacing w:val="11"/>
        </w:rPr>
        <w:t> </w:t>
      </w: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“Tax</w:t>
      </w:r>
      <w:r>
        <w:rPr>
          <w:color w:val="6E6158"/>
          <w:spacing w:val="12"/>
        </w:rPr>
        <w:t> </w:t>
      </w:r>
      <w:r>
        <w:rPr>
          <w:color w:val="6E6158"/>
        </w:rPr>
        <w:t>Developments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2014,”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Client</w:t>
      </w:r>
      <w:r>
        <w:rPr>
          <w:color w:val="6E6158"/>
          <w:spacing w:val="12"/>
        </w:rPr>
        <w:t> </w:t>
      </w:r>
      <w:r>
        <w:rPr>
          <w:color w:val="6E6158"/>
        </w:rPr>
        <w:t>Alert,</w:t>
      </w:r>
      <w:r>
        <w:rPr>
          <w:color w:val="6E6158"/>
          <w:spacing w:val="12"/>
        </w:rPr>
        <w:t> </w:t>
      </w:r>
      <w:r>
        <w:rPr>
          <w:color w:val="6E6158"/>
        </w:rPr>
        <w:t>December</w:t>
      </w:r>
      <w:r>
        <w:rPr>
          <w:color w:val="6E6158"/>
          <w:spacing w:val="12"/>
        </w:rPr>
        <w:t> </w:t>
      </w:r>
      <w:r>
        <w:rPr>
          <w:color w:val="6E6158"/>
        </w:rPr>
        <w:t>15,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82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267974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0389pt;width:1.65pt;height:1.65pt;mso-position-horizontal-relative:page;mso-position-vertical-relative:paragraph;z-index:15770624" id="docshape9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Contributing author, “Tax, Business and Estate Planning,” Fennemore Client Alert, </w:t>
      </w:r>
      <w:r>
        <w:rPr>
          <w:color w:val="6E6158"/>
        </w:rPr>
        <w:t>December 15, 2014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142844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589pt;width:1.65pt;height:1.65pt;mso-position-horizontal-relative:page;mso-position-vertical-relative:paragraph;z-index:15771136" id="docshape9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“Estate</w:t>
      </w:r>
      <w:r>
        <w:rPr>
          <w:color w:val="6E6158"/>
          <w:spacing w:val="12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Novice,”</w:t>
      </w:r>
      <w:r>
        <w:rPr>
          <w:color w:val="6E6158"/>
          <w:spacing w:val="12"/>
        </w:rPr>
        <w:t> </w:t>
      </w:r>
      <w:r>
        <w:rPr>
          <w:color w:val="6E6158"/>
        </w:rPr>
        <w:t>sponsored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KJZZ/K-BACH</w:t>
      </w:r>
      <w:r>
        <w:rPr>
          <w:color w:val="6E6158"/>
          <w:spacing w:val="12"/>
        </w:rPr>
        <w:t> </w:t>
      </w:r>
      <w:r>
        <w:rPr>
          <w:color w:val="6E6158"/>
        </w:rPr>
        <w:t>Radio,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2014</w:t>
      </w:r>
    </w:p>
    <w:p>
      <w:pPr>
        <w:spacing w:line="285" w:lineRule="auto"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268192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7487pt;width:1.65pt;height:1.65pt;mso-position-horizontal-relative:page;mso-position-vertical-relative:paragraph;z-index:15771648" id="docshape94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Vol. 1, </w:t>
      </w:r>
      <w:r>
        <w:rPr>
          <w:color w:val="6E6158"/>
          <w:sz w:val="19"/>
        </w:rPr>
        <w:t>2014 supplement</w:t>
      </w:r>
    </w:p>
    <w:p>
      <w:pPr>
        <w:pStyle w:val="BodyText"/>
        <w:spacing w:line="292" w:lineRule="auto" w:before="126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232678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21146pt;width:1.65pt;height:1.65pt;mso-position-horizontal-relative:page;mso-position-vertical-relative:paragraph;z-index:15772160" id="docshape95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 and Seminar Chair, “Advanced Estate Planning and Trust/Probate </w:t>
      </w:r>
      <w:r>
        <w:rPr>
          <w:color w:val="6E6158"/>
        </w:rPr>
        <w:t>Administration,” CLE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Sea,</w:t>
      </w:r>
      <w:r>
        <w:rPr>
          <w:color w:val="6E6158"/>
          <w:spacing w:val="28"/>
        </w:rPr>
        <w:t> </w:t>
      </w:r>
      <w:r>
        <w:rPr>
          <w:color w:val="6E6158"/>
        </w:rPr>
        <w:t>Coronado,</w:t>
      </w:r>
      <w:r>
        <w:rPr>
          <w:color w:val="6E6158"/>
          <w:spacing w:val="28"/>
        </w:rPr>
        <w:t> </w:t>
      </w:r>
      <w:r>
        <w:rPr>
          <w:color w:val="6E6158"/>
        </w:rPr>
        <w:t>California,</w:t>
      </w:r>
      <w:r>
        <w:rPr>
          <w:color w:val="6E6158"/>
          <w:spacing w:val="28"/>
        </w:rPr>
        <w:t> </w:t>
      </w:r>
      <w:r>
        <w:rPr>
          <w:color w:val="6E6158"/>
        </w:rPr>
        <w:t>sponsored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Bar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Arizona,</w:t>
      </w:r>
      <w:r>
        <w:rPr>
          <w:color w:val="6E6158"/>
          <w:spacing w:val="28"/>
        </w:rPr>
        <w:t> </w:t>
      </w:r>
      <w:r>
        <w:rPr>
          <w:color w:val="6E6158"/>
        </w:rPr>
        <w:t>2014</w:t>
      </w:r>
    </w:p>
    <w:p>
      <w:pPr>
        <w:pStyle w:val="BodyText"/>
        <w:spacing w:line="295" w:lineRule="auto" w:before="12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416975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2691pt;width:1.65pt;height:1.65pt;mso-position-horizontal-relative:page;mso-position-vertical-relative:paragraph;z-index:15772672" id="docshape96" coordorigin="1670,657" coordsize="33,33" path="m1691,689l1682,689,1678,688,1671,681,1670,677,1670,668,1671,665,1678,658,1682,657,1691,657,1694,658,1701,665,1702,668,1702,673,1702,677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 Chair and Moderator, “Effect of U.S. v. Windsor on DOMA in Estate Planning, Update on T&amp;E Litigation and Legislation (Federal and Arizona), Resolving Probate and Trust Disputes</w:t>
      </w:r>
      <w:r>
        <w:rPr>
          <w:color w:val="6E6158"/>
          <w:spacing w:val="40"/>
        </w:rPr>
        <w:t> </w:t>
      </w:r>
      <w:r>
        <w:rPr>
          <w:color w:val="6E6158"/>
        </w:rPr>
        <w:t>Without Protracted Litigation, and the Continuing Evolution of the Arizona Probate Rules and</w:t>
      </w:r>
      <w:r>
        <w:rPr>
          <w:color w:val="6E6158"/>
          <w:spacing w:val="40"/>
        </w:rPr>
        <w:t> </w:t>
      </w:r>
      <w:r>
        <w:rPr>
          <w:color w:val="6E6158"/>
        </w:rPr>
        <w:t>Procedures,” sponsored by the State Bar of Arizona, 2014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236320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916pt;width:1.65pt;height:1.65pt;mso-position-horizontal-relative:page;mso-position-vertical-relative:paragraph;z-index:15773184" id="docshape9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</w:t>
      </w:r>
      <w:r>
        <w:rPr>
          <w:color w:val="6E6158"/>
          <w:spacing w:val="36"/>
        </w:rPr>
        <w:t> </w:t>
      </w:r>
      <w:r>
        <w:rPr>
          <w:color w:val="6E6158"/>
        </w:rPr>
        <w:t>Co-Chair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Moderator,</w:t>
      </w:r>
      <w:r>
        <w:rPr>
          <w:color w:val="6E6158"/>
          <w:spacing w:val="36"/>
        </w:rPr>
        <w:t> </w:t>
      </w:r>
      <w:r>
        <w:rPr>
          <w:color w:val="6E6158"/>
        </w:rPr>
        <w:t>“Unraveling</w:t>
      </w:r>
      <w:r>
        <w:rPr>
          <w:color w:val="6E6158"/>
          <w:spacing w:val="36"/>
        </w:rPr>
        <w:t> </w:t>
      </w:r>
      <w:r>
        <w:rPr>
          <w:color w:val="6E6158"/>
        </w:rPr>
        <w:t>Estate</w:t>
      </w:r>
      <w:r>
        <w:rPr>
          <w:color w:val="6E6158"/>
          <w:spacing w:val="36"/>
        </w:rPr>
        <w:t> </w:t>
      </w:r>
      <w:r>
        <w:rPr>
          <w:color w:val="6E6158"/>
        </w:rPr>
        <w:t>Planning</w:t>
      </w:r>
      <w:r>
        <w:rPr>
          <w:color w:val="6E6158"/>
          <w:spacing w:val="36"/>
        </w:rPr>
        <w:t> </w:t>
      </w:r>
      <w:r>
        <w:rPr>
          <w:color w:val="6E6158"/>
        </w:rPr>
        <w:t>Issues</w:t>
      </w:r>
      <w:r>
        <w:rPr>
          <w:color w:val="6E6158"/>
          <w:spacing w:val="36"/>
        </w:rPr>
        <w:t> </w:t>
      </w:r>
      <w:r>
        <w:rPr>
          <w:color w:val="6E6158"/>
        </w:rPr>
        <w:t>after</w:t>
      </w:r>
      <w:r>
        <w:rPr>
          <w:color w:val="6E6158"/>
          <w:spacing w:val="36"/>
        </w:rPr>
        <w:t> </w:t>
      </w:r>
      <w:r>
        <w:rPr>
          <w:color w:val="6E6158"/>
        </w:rPr>
        <w:t>Windsor</w:t>
      </w:r>
      <w:r>
        <w:rPr>
          <w:color w:val="6E6158"/>
          <w:spacing w:val="36"/>
        </w:rPr>
        <w:t> </w:t>
      </w:r>
      <w:r>
        <w:rPr>
          <w:color w:val="6E6158"/>
        </w:rPr>
        <w:t>(DOMA) and</w:t>
      </w:r>
      <w:r>
        <w:rPr>
          <w:color w:val="6E6158"/>
          <w:spacing w:val="13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</w:rPr>
        <w:t>Advanced</w:t>
      </w:r>
      <w:r>
        <w:rPr>
          <w:color w:val="6E6158"/>
          <w:spacing w:val="13"/>
        </w:rPr>
        <w:t> </w:t>
      </w:r>
      <w:r>
        <w:rPr>
          <w:color w:val="6E6158"/>
        </w:rPr>
        <w:t>Planning</w:t>
      </w:r>
      <w:r>
        <w:rPr>
          <w:color w:val="6E6158"/>
          <w:spacing w:val="13"/>
        </w:rPr>
        <w:t> </w:t>
      </w:r>
      <w:r>
        <w:rPr>
          <w:color w:val="6E6158"/>
        </w:rPr>
        <w:t>Topics,”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Probate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Trust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2013</w:t>
      </w:r>
    </w:p>
    <w:p>
      <w:pPr>
        <w:pStyle w:val="BodyText"/>
        <w:spacing w:line="288" w:lineRule="auto" w:before="113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230781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1743pt;width:1.65pt;height:1.65pt;mso-position-horizontal-relative:page;mso-position-vertical-relative:paragraph;z-index:15773696" id="docshape9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“Understanding Consequences of Transfers of Title in Unfamiliar </w:t>
      </w:r>
      <w:r>
        <w:rPr>
          <w:color w:val="6E6158"/>
        </w:rPr>
        <w:t>Jurisdictions</w:t>
      </w:r>
      <w:r>
        <w:rPr>
          <w:i/>
          <w:color w:val="6E6158"/>
          <w:sz w:val="20"/>
        </w:rPr>
        <w:t>,”</w:t>
      </w:r>
      <w:r>
        <w:rPr>
          <w:i/>
          <w:color w:val="6E6158"/>
          <w:sz w:val="20"/>
        </w:rPr>
        <w:t> </w:t>
      </w:r>
      <w:r>
        <w:rPr>
          <w:color w:val="6E6158"/>
        </w:rPr>
        <w:t>Western</w:t>
      </w:r>
      <w:r>
        <w:rPr>
          <w:color w:val="6E6158"/>
          <w:spacing w:val="36"/>
        </w:rPr>
        <w:t> </w:t>
      </w:r>
      <w:r>
        <w:rPr>
          <w:color w:val="6E6158"/>
        </w:rPr>
        <w:t>Region</w:t>
      </w:r>
      <w:r>
        <w:rPr>
          <w:color w:val="6E6158"/>
          <w:spacing w:val="36"/>
        </w:rPr>
        <w:t> </w:t>
      </w:r>
      <w:r>
        <w:rPr>
          <w:color w:val="6E6158"/>
        </w:rPr>
        <w:t>Meeting,</w:t>
      </w:r>
      <w:r>
        <w:rPr>
          <w:color w:val="6E6158"/>
          <w:spacing w:val="36"/>
        </w:rPr>
        <w:t> </w:t>
      </w:r>
      <w:r>
        <w:rPr>
          <w:color w:val="6E6158"/>
        </w:rPr>
        <w:t>ACTEC,</w:t>
      </w:r>
      <w:r>
        <w:rPr>
          <w:color w:val="6E6158"/>
          <w:spacing w:val="36"/>
        </w:rPr>
        <w:t> </w:t>
      </w:r>
      <w:r>
        <w:rPr>
          <w:color w:val="6E6158"/>
        </w:rPr>
        <w:t>Half</w:t>
      </w:r>
      <w:r>
        <w:rPr>
          <w:color w:val="6E6158"/>
          <w:spacing w:val="36"/>
        </w:rPr>
        <w:t> </w:t>
      </w:r>
      <w:r>
        <w:rPr>
          <w:color w:val="6E6158"/>
        </w:rPr>
        <w:t>Moon</w:t>
      </w:r>
      <w:r>
        <w:rPr>
          <w:color w:val="6E6158"/>
          <w:spacing w:val="36"/>
        </w:rPr>
        <w:t> </w:t>
      </w:r>
      <w:r>
        <w:rPr>
          <w:color w:val="6E6158"/>
        </w:rPr>
        <w:t>Bay</w:t>
      </w:r>
      <w:r>
        <w:rPr>
          <w:color w:val="6E6158"/>
          <w:spacing w:val="36"/>
        </w:rPr>
        <w:t> </w:t>
      </w:r>
      <w:r>
        <w:rPr>
          <w:color w:val="6E6158"/>
        </w:rPr>
        <w:t>(San</w:t>
      </w:r>
      <w:r>
        <w:rPr>
          <w:color w:val="6E6158"/>
          <w:spacing w:val="36"/>
        </w:rPr>
        <w:t> </w:t>
      </w:r>
      <w:r>
        <w:rPr>
          <w:color w:val="6E6158"/>
        </w:rPr>
        <w:t>Francisco),</w:t>
      </w:r>
      <w:r>
        <w:rPr>
          <w:color w:val="6E6158"/>
          <w:spacing w:val="36"/>
        </w:rPr>
        <w:t> </w:t>
      </w:r>
      <w:r>
        <w:rPr>
          <w:color w:val="6E6158"/>
        </w:rPr>
        <w:t>California,</w:t>
      </w:r>
      <w:r>
        <w:rPr>
          <w:color w:val="6E6158"/>
          <w:spacing w:val="36"/>
        </w:rPr>
        <w:t> </w:t>
      </w:r>
      <w:r>
        <w:rPr>
          <w:color w:val="6E6158"/>
        </w:rPr>
        <w:t>2013</w:t>
      </w:r>
    </w:p>
    <w:p>
      <w:pPr>
        <w:pStyle w:val="BodyText"/>
        <w:spacing w:before="136"/>
      </w:pPr>
      <w:r>
        <w:rPr>
          <w:color w:val="6E6158"/>
        </w:rPr>
        <w:t>Speaker,</w:t>
      </w:r>
      <w:r>
        <w:rPr>
          <w:color w:val="6E6158"/>
          <w:spacing w:val="8"/>
        </w:rPr>
        <w:t> </w:t>
      </w:r>
      <w:r>
        <w:rPr>
          <w:color w:val="6E6158"/>
        </w:rPr>
        <w:t>“Wealth</w:t>
      </w:r>
      <w:r>
        <w:rPr>
          <w:color w:val="6E6158"/>
          <w:spacing w:val="9"/>
        </w:rPr>
        <w:t> </w:t>
      </w:r>
      <w:r>
        <w:rPr>
          <w:color w:val="6E6158"/>
        </w:rPr>
        <w:t>Transfer</w:t>
      </w:r>
      <w:r>
        <w:rPr>
          <w:color w:val="6E6158"/>
          <w:spacing w:val="9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</w:rPr>
        <w:t>Legislation,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Planning</w:t>
      </w:r>
      <w:r>
        <w:rPr>
          <w:color w:val="6E6158"/>
          <w:spacing w:val="9"/>
        </w:rPr>
        <w:t> </w:t>
      </w:r>
      <w:r>
        <w:rPr>
          <w:color w:val="6E6158"/>
        </w:rPr>
        <w:t>Techniques,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Current</w:t>
      </w:r>
    </w:p>
    <w:p>
      <w:pPr>
        <w:pStyle w:val="BodyText"/>
        <w:spacing w:line="292" w:lineRule="auto" w:before="5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92612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29231pt;width:1.65pt;height:1.65pt;mso-position-horizontal-relative:page;mso-position-vertical-relative:paragraph;z-index:15774208" id="docshape99" coordorigin="1670,146" coordsize="33,33" path="m1691,178l1682,178,1678,177,1671,170,1670,167,1670,158,1671,154,1678,147,1682,146,1691,146,1694,147,1701,154,1702,158,1702,162,1702,167,1701,170,1694,177,1691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Developments,” CLE by the Sea, Coronado, California, sponsored by the State Bar of Arizona,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2013</w:t>
      </w:r>
    </w:p>
    <w:p>
      <w:pPr>
        <w:spacing w:line="285" w:lineRule="auto"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236053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861pt;width:1.65pt;height:1.65pt;mso-position-horizontal-relative:page;mso-position-vertical-relative:paragraph;z-index:15774720" id="docshape10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“Arizona Estate Planning: Income, Estate, Gift, and GST Taxation,” </w:t>
      </w:r>
      <w:r>
        <w:rPr>
          <w:i/>
          <w:color w:val="6E6158"/>
          <w:sz w:val="20"/>
        </w:rPr>
        <w:t>DT </w:t>
      </w:r>
      <w:r>
        <w:rPr>
          <w:i/>
          <w:color w:val="6E6158"/>
          <w:sz w:val="20"/>
        </w:rPr>
        <w:t>Publishing</w:t>
      </w:r>
      <w:r>
        <w:rPr>
          <w:i/>
          <w:color w:val="6E6158"/>
          <w:sz w:val="20"/>
        </w:rPr>
        <w:t> Company, Vol. 1, </w:t>
      </w:r>
      <w:r>
        <w:rPr>
          <w:color w:val="6E6158"/>
          <w:sz w:val="19"/>
        </w:rPr>
        <w:t>2012</w:t>
      </w:r>
    </w:p>
    <w:p>
      <w:pPr>
        <w:pStyle w:val="BodyText"/>
        <w:spacing w:line="292" w:lineRule="auto" w:before="127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232924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40485pt;width:1.65pt;height:1.65pt;mso-position-horizontal-relative:page;mso-position-vertical-relative:paragraph;z-index:15775232" id="docshape101" coordorigin="1670,367" coordsize="33,33" path="m1691,399l1682,399,1678,398,1671,391,1670,388,1670,379,1671,375,1678,368,1682,367,1691,367,1694,368,1701,375,1702,379,1702,383,1702,388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 Co-Chair, “Arizona Probate Practice in 2012 – ¡Cuidado!”, Probate &amp; Trust </w:t>
      </w:r>
      <w:r>
        <w:rPr>
          <w:color w:val="6E6158"/>
        </w:rPr>
        <w:t>Law Section, Arizona State Bar Convention, 2012</w:t>
      </w:r>
    </w:p>
    <w:p>
      <w:pPr>
        <w:pStyle w:val="BodyText"/>
        <w:spacing w:line="302" w:lineRule="auto" w:before="12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235732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579pt;width:1.65pt;height:1.65pt;mso-position-horizontal-relative:page;mso-position-vertical-relative:paragraph;z-index:15775744" id="docshape10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Good, Bad and the Ugly in Decanting in Arizona,” Arizona </w:t>
      </w:r>
      <w:r>
        <w:rPr>
          <w:color w:val="6E6158"/>
        </w:rPr>
        <w:t>Community Foundation, Professional Advisory Board, 2012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224073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3553pt;width:1.65pt;height:1.65pt;mso-position-horizontal-relative:page;mso-position-vertical-relative:paragraph;z-index:15776256" id="docshape10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“Unexpected Complexity of Marital Deductions,” National Teleconference, </w:t>
      </w:r>
      <w:r>
        <w:rPr>
          <w:color w:val="6E6158"/>
        </w:rPr>
        <w:t>Lorman Education Services, 2012</w:t>
      </w:r>
    </w:p>
    <w:p>
      <w:pPr>
        <w:pStyle w:val="BodyText"/>
        <w:spacing w:line="292" w:lineRule="auto" w:before="131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235766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287pt;width:1.65pt;height:1.65pt;mso-position-horizontal-relative:page;mso-position-vertical-relative:paragraph;z-index:15776768" id="docshape10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“Decanting (What now, pourover “trusts”?),” East Valley Estate Planning </w:t>
      </w:r>
      <w:r>
        <w:rPr>
          <w:color w:val="6E6158"/>
        </w:rPr>
        <w:t>Council, </w:t>
      </w:r>
      <w:r>
        <w:rPr>
          <w:color w:val="6E6158"/>
          <w:spacing w:val="-4"/>
        </w:rPr>
        <w:t>2012</w:t>
      </w:r>
    </w:p>
    <w:p>
      <w:pPr>
        <w:pStyle w:val="BodyText"/>
        <w:spacing w:line="292" w:lineRule="auto" w:before="12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230866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8436pt;width:1.65pt;height:1.65pt;mso-position-horizontal-relative:page;mso-position-vertical-relative:paragraph;z-index:15777280" id="docshape105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 Chair and Moderator, “Advanced Probate and Trust,” State Bar of Arizona, </w:t>
      </w:r>
      <w:r>
        <w:rPr>
          <w:color w:val="6E6158"/>
        </w:rPr>
        <w:t>Probate and Trust Law Section, 2011</w:t>
      </w:r>
    </w:p>
    <w:p>
      <w:pPr>
        <w:spacing w:line="288" w:lineRule="auto" w:before="122"/>
        <w:ind w:left="351" w:right="1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236209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171pt;width:1.65pt;height:1.65pt;mso-position-horizontal-relative:page;mso-position-vertical-relative:paragraph;z-index:15777792" id="docshape10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“Decant or Not Decant (in Arizona)?,” </w:t>
      </w:r>
      <w:r>
        <w:rPr>
          <w:i/>
          <w:color w:val="6E6158"/>
          <w:sz w:val="20"/>
        </w:rPr>
        <w:t>Probate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Trust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Newsletter,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State Bar of Arizona, 2011</w:t>
      </w:r>
    </w:p>
    <w:p>
      <w:pPr>
        <w:pStyle w:val="BodyText"/>
        <w:spacing w:before="128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“Marital</w:t>
      </w:r>
      <w:r>
        <w:rPr>
          <w:color w:val="6E6158"/>
          <w:spacing w:val="11"/>
        </w:rPr>
        <w:t> </w:t>
      </w:r>
      <w:r>
        <w:rPr>
          <w:color w:val="6E6158"/>
        </w:rPr>
        <w:t>Deduction</w:t>
      </w:r>
      <w:r>
        <w:rPr>
          <w:color w:val="6E6158"/>
          <w:spacing w:val="11"/>
        </w:rPr>
        <w:t> </w:t>
      </w:r>
      <w:r>
        <w:rPr>
          <w:color w:val="6E6158"/>
        </w:rPr>
        <w:t>Formula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GST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Severance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—</w:t>
      </w:r>
      <w:r>
        <w:rPr>
          <w:color w:val="6E6158"/>
          <w:spacing w:val="11"/>
        </w:rPr>
        <w:t> </w:t>
      </w:r>
      <w:r>
        <w:rPr>
          <w:color w:val="6E6158"/>
        </w:rPr>
        <w:t>Income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Tax</w:t>
      </w:r>
    </w:p>
    <w:p>
      <w:pPr>
        <w:pStyle w:val="BodyText"/>
        <w:spacing w:line="297" w:lineRule="auto" w:before="41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97401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69383pt;width:1.65pt;height:1.65pt;mso-position-horizontal-relative:page;mso-position-vertical-relative:paragraph;z-index:15778304" id="docshape107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Consequences,” </w:t>
      </w:r>
      <w:r>
        <w:rPr>
          <w:i/>
          <w:color w:val="6E6158"/>
          <w:sz w:val="20"/>
        </w:rPr>
        <w:t>Estate Planning, </w:t>
      </w:r>
      <w:r>
        <w:rPr>
          <w:color w:val="6E6158"/>
        </w:rPr>
        <w:t>Thomson Reuters (Warren, Gorham &amp; Lamont), New </w:t>
      </w:r>
      <w:r>
        <w:rPr>
          <w:color w:val="6E6158"/>
        </w:rPr>
        <w:t>York, Nov. 2010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578pt;width:1.65pt;height:1.65pt;mso-position-horizontal-relative:page;mso-position-vertical-relative:paragraph;z-index:15778816" id="docshape108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“Recent Developments and Hot Topics: Apportionment of Estate Taxes and Administrative Expenses,” sponsored by the Jewish Community Foundation of </w:t>
      </w:r>
      <w:r>
        <w:rPr>
          <w:color w:val="6E6158"/>
        </w:rPr>
        <w:t>Southern Arizona, 2010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1060346</wp:posOffset>
                </wp:positionH>
                <wp:positionV relativeFrom="paragraph">
                  <wp:posOffset>134687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605344pt;width:1.65pt;height:1.65pt;mso-position-horizontal-relative:page;mso-position-vertical-relative:paragraph;z-index:15779328" id="docshape109" coordorigin="1670,212" coordsize="33,33" path="m1691,245l1682,245,1678,243,1671,237,1670,233,1670,224,1671,220,1678,214,1682,212,1691,212,1694,214,1701,220,1702,224,1702,228,1702,233,1701,237,1694,243,1691,2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“Decant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0"/>
        </w:rPr>
        <w:t> </w:t>
      </w:r>
      <w:r>
        <w:rPr>
          <w:color w:val="6E6158"/>
        </w:rPr>
        <w:t>Not</w:t>
      </w:r>
      <w:r>
        <w:rPr>
          <w:color w:val="6E6158"/>
          <w:spacing w:val="11"/>
        </w:rPr>
        <w:t> </w:t>
      </w:r>
      <w:r>
        <w:rPr>
          <w:color w:val="6E6158"/>
        </w:rPr>
        <w:t>Decant?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Question,”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Convention,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1060346</wp:posOffset>
                </wp:positionH>
                <wp:positionV relativeFrom="paragraph">
                  <wp:posOffset>263210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5231pt;width:1.65pt;height:1.65pt;mso-position-horizontal-relative:page;mso-position-vertical-relative:paragraph;z-index:15779840" id="docshape110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“Important and Hot Estate Planning and Related Tax Planning Topics,” State Bar of Arizona, Probate and Trust Law Section, 2009</w:t>
      </w:r>
    </w:p>
    <w:p>
      <w:pPr>
        <w:pStyle w:val="BodyText"/>
        <w:spacing w:line="292" w:lineRule="auto" w:before="132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1060346</wp:posOffset>
                </wp:positionH>
                <wp:positionV relativeFrom="paragraph">
                  <wp:posOffset>236168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926pt;width:1.65pt;height:1.65pt;mso-position-horizontal-relative:page;mso-position-vertical-relative:paragraph;z-index:15780352" id="docshape111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“Steeping Marital Deduction Bliss in Your GS Tea (Advanced Formula Planning),” Tucson Tax Study Group, 2009</w:t>
      </w:r>
    </w:p>
    <w:p>
      <w:pPr>
        <w:pStyle w:val="BodyText"/>
        <w:spacing w:line="292" w:lineRule="auto" w:before="123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1060346</wp:posOffset>
                </wp:positionH>
                <wp:positionV relativeFrom="paragraph">
                  <wp:posOffset>230633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12pt;width:1.65pt;height:1.65pt;mso-position-horizontal-relative:page;mso-position-vertical-relative:paragraph;z-index:15780864" id="docshape11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“Advanced Generation-Skipping Transfer Tax and Marital Deduction </w:t>
      </w:r>
      <w:r>
        <w:rPr>
          <w:color w:val="6E6158"/>
        </w:rPr>
        <w:t>Planning,” National Teleconference, NBI, 2009</w:t>
      </w:r>
    </w:p>
    <w:p>
      <w:pPr>
        <w:pStyle w:val="BodyText"/>
        <w:spacing w:line="420" w:lineRule="auto" w:before="131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1060346</wp:posOffset>
                </wp:positionH>
                <wp:positionV relativeFrom="paragraph">
                  <wp:posOffset>142963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955pt;width:1.65pt;height:1.65pt;mso-position-horizontal-relative:page;mso-position-vertical-relative:paragraph;z-index:15781376" id="docshape11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1060346</wp:posOffset>
                </wp:positionH>
                <wp:positionV relativeFrom="paragraph">
                  <wp:posOffset>406496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07565pt;width:1.65pt;height:1.65pt;mso-position-horizontal-relative:page;mso-position-vertical-relative:paragraph;z-index:15781888" id="docshape114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“Drafting for the Arizona Trust Code,” Maricopa County Bar Association, </w:t>
      </w:r>
      <w:r>
        <w:rPr>
          <w:color w:val="6E6158"/>
        </w:rPr>
        <w:t>2009 Speaker, “GSTT and Marital Deduction Formula Planning,” VEP, 2009</w:t>
      </w:r>
    </w:p>
    <w:p>
      <w:pPr>
        <w:pStyle w:val="BodyText"/>
        <w:spacing w:line="292" w:lineRule="auto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1060346</wp:posOffset>
                </wp:positionH>
                <wp:positionV relativeFrom="paragraph">
                  <wp:posOffset>151782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51351pt;width:1.65pt;height:1.65pt;mso-position-horizontal-relative:page;mso-position-vertical-relative:paragraph;z-index:15782400" id="docshape115" coordorigin="1670,239" coordsize="33,33" path="m1691,272l1682,272,1678,270,1671,264,1670,260,1670,251,1671,247,1678,241,1682,239,1691,239,1694,241,1701,247,1702,251,1702,255,1702,260,1701,264,1694,270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“New Trust Code and Probate Rules Take Effect: Are you Ready?” State Bar of Arizona, Elder Law and Mental Health Section, 2009</w:t>
      </w: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1060346</wp:posOffset>
                </wp:positionH>
                <wp:positionV relativeFrom="paragraph">
                  <wp:posOffset>142221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98539pt;width:1.65pt;height:1.65pt;mso-position-horizontal-relative:page;mso-position-vertical-relative:paragraph;z-index:15782912" id="docshape116" coordorigin="1670,224" coordsize="33,33" path="m1691,257l1682,257,1678,255,1671,249,1670,245,1670,236,1671,232,1678,226,1682,224,1691,224,1694,226,1701,232,1702,236,1702,240,1702,245,1701,249,1694,255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“Arizona</w:t>
      </w:r>
      <w:r>
        <w:rPr>
          <w:color w:val="6E6158"/>
          <w:spacing w:val="12"/>
        </w:rPr>
        <w:t> </w:t>
      </w:r>
      <w:r>
        <w:rPr>
          <w:color w:val="6E6158"/>
        </w:rPr>
        <w:t>Trust</w:t>
      </w:r>
      <w:r>
        <w:rPr>
          <w:color w:val="6E6158"/>
          <w:spacing w:val="12"/>
        </w:rPr>
        <w:t> </w:t>
      </w:r>
      <w:r>
        <w:rPr>
          <w:color w:val="6E6158"/>
        </w:rPr>
        <w:t>Code,”</w:t>
      </w:r>
      <w:r>
        <w:rPr>
          <w:color w:val="6E6158"/>
          <w:spacing w:val="11"/>
        </w:rPr>
        <w:t> </w:t>
      </w:r>
      <w:r>
        <w:rPr>
          <w:color w:val="6E6158"/>
        </w:rPr>
        <w:t>Maricopa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2" w:lineRule="auto" w:before="174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1060346</wp:posOffset>
                </wp:positionH>
                <wp:positionV relativeFrom="paragraph">
                  <wp:posOffset>263124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8449pt;width:1.65pt;height:1.65pt;mso-position-horizontal-relative:page;mso-position-vertical-relative:paragraph;z-index:15783424" id="docshape117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“Trust and Estate Distributions: Income Tax Implications and Planning </w:t>
      </w:r>
      <w:r>
        <w:rPr>
          <w:color w:val="6E6158"/>
        </w:rPr>
        <w:t>Alternatives,” State Bar of Arizona, Taxation Section, 2008</w:t>
      </w:r>
    </w:p>
    <w:p>
      <w:pPr>
        <w:pStyle w:val="BodyText"/>
        <w:spacing w:line="420" w:lineRule="auto" w:before="132"/>
        <w:ind w:right="1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1060346</wp:posOffset>
                </wp:positionH>
                <wp:positionV relativeFrom="paragraph">
                  <wp:posOffset>143069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285pt;width:1.65pt;height:1.65pt;mso-position-horizontal-relative:page;mso-position-vertical-relative:paragraph;z-index:15783936" id="docshape11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1060346</wp:posOffset>
                </wp:positionH>
                <wp:positionV relativeFrom="paragraph">
                  <wp:posOffset>401434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9034pt;width:1.65pt;height:1.65pt;mso-position-horizontal-relative:page;mso-position-vertical-relative:paragraph;z-index:15784448" id="docshape119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“Trust and Estate Income Taxation,” Tucson Tax Study Group, 2007 Speaker,</w:t>
      </w:r>
      <w:r>
        <w:rPr>
          <w:color w:val="6E6158"/>
          <w:spacing w:val="8"/>
        </w:rPr>
        <w:t> </w:t>
      </w:r>
      <w:r>
        <w:rPr>
          <w:color w:val="6E6158"/>
        </w:rPr>
        <w:t>“Income</w:t>
      </w:r>
      <w:r>
        <w:rPr>
          <w:color w:val="6E6158"/>
          <w:spacing w:val="8"/>
        </w:rPr>
        <w:t> </w:t>
      </w:r>
      <w:r>
        <w:rPr>
          <w:color w:val="6E6158"/>
        </w:rPr>
        <w:t>Taxation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Planners,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2007</w:t>
      </w:r>
    </w:p>
    <w:p>
      <w:pPr>
        <w:pStyle w:val="BodyText"/>
        <w:spacing w:line="420" w:lineRule="auto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1060346</wp:posOffset>
                </wp:positionH>
                <wp:positionV relativeFrom="paragraph">
                  <wp:posOffset>63406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661pt;width:1.65pt;height:1.65pt;mso-position-horizontal-relative:page;mso-position-vertical-relative:paragraph;z-index:15784960" id="docshape120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1060346</wp:posOffset>
                </wp:positionH>
                <wp:positionV relativeFrom="paragraph">
                  <wp:posOffset>321772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638pt;width:1.65pt;height:1.65pt;mso-position-horizontal-relative:page;mso-position-vertical-relative:paragraph;z-index:15785472" id="docshape121" coordorigin="1670,507" coordsize="33,33" path="m1691,539l1682,539,1678,538,1671,531,1670,527,1670,519,1671,515,1678,508,1682,507,1691,507,1694,508,1701,515,1702,519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“Estate Planning and Subchapter J Issues,” East Valley Estate Planning Council, 2006 and various commercially sponsored lectures</w:t>
      </w:r>
    </w:p>
    <w:p>
      <w:pPr>
        <w:pStyle w:val="Heading2"/>
        <w:spacing w:before="166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5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1060346</wp:posOffset>
                </wp:positionH>
                <wp:positionV relativeFrom="paragraph">
                  <wp:posOffset>152514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9048pt;width:1.65pt;height:1.65pt;mso-position-horizontal-relative:page;mso-position-vertical-relative:paragraph;z-index:15785984" id="docshape122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1060346</wp:posOffset>
                </wp:positionH>
                <wp:positionV relativeFrom="paragraph">
                  <wp:posOffset>416047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9640pt;width:1.65pt;height:1.65pt;mso-position-horizontal-relative:page;mso-position-vertical-relative:paragraph;z-index:15786496" id="docshape12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1060346</wp:posOffset>
                </wp:positionH>
                <wp:positionV relativeFrom="paragraph">
                  <wp:posOffset>674412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3382pt;width:1.65pt;height:1.65pt;mso-position-horizontal-relative:page;mso-position-vertical-relative:paragraph;z-index:15787008" id="docshape124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</w:t>
      </w:r>
      <w:r>
        <w:rPr>
          <w:color w:val="6E6158"/>
        </w:rPr>
        <w:t>Association Member, State Bar of Arizona Member, Utah State Bar</w:t>
      </w:r>
    </w:p>
    <w:p>
      <w:pPr>
        <w:pStyle w:val="BodyText"/>
        <w:spacing w:line="302" w:lineRule="auto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1060346</wp:posOffset>
                </wp:positionH>
                <wp:positionV relativeFrom="paragraph">
                  <wp:posOffset>156471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0561pt;width:1.65pt;height:1.65pt;mso-position-horizontal-relative:page;mso-position-vertical-relative:paragraph;z-index:15787520" id="docshape125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and Past Chair, Executive Council, Probate and Trust Law Section, State Bar of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1060346</wp:posOffset>
                </wp:positionH>
                <wp:positionV relativeFrom="paragraph">
                  <wp:posOffset>222917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552536pt;width:1.65pt;height:1.65pt;mso-position-horizontal-relative:page;mso-position-vertical-relative:paragraph;z-index:15788032" id="docshape126" coordorigin="1670,351" coordsize="33,33" path="m1691,384l1682,384,1678,382,1671,376,1670,372,1670,363,1671,359,1678,353,1682,351,1691,351,1694,353,1701,359,1702,363,1702,367,1702,372,1701,376,1694,382,1691,3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Professional Advisory Board and Gift Acceptance Committee, Arizona </w:t>
      </w:r>
      <w:r>
        <w:rPr>
          <w:color w:val="6E6158"/>
        </w:rPr>
        <w:t>Community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1060346</wp:posOffset>
                </wp:positionH>
                <wp:positionV relativeFrom="paragraph">
                  <wp:posOffset>142871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9742pt;width:1.65pt;height:1.65pt;mso-position-horizontal-relative:page;mso-position-vertical-relative:paragraph;z-index:15788544" id="docshape12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Trustee,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Boys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Choir</w:t>
      </w:r>
    </w:p>
    <w:p>
      <w:pPr>
        <w:pStyle w:val="BodyText"/>
        <w:spacing w:line="420" w:lineRule="auto" w:before="174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1060346</wp:posOffset>
                </wp:positionH>
                <wp:positionV relativeFrom="paragraph">
                  <wp:posOffset>170126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5804pt;width:1.65pt;height:1.65pt;mso-position-horizontal-relative:page;mso-position-vertical-relative:paragraph;z-index:15789056" id="docshape128" coordorigin="1670,268" coordsize="33,33" path="m1691,300l1682,300,1678,299,1671,293,1670,289,1670,280,1671,276,1678,270,1682,268,1691,268,1694,270,1701,276,1702,280,1702,284,1702,289,1701,293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1060346</wp:posOffset>
                </wp:positionH>
                <wp:positionV relativeFrom="paragraph">
                  <wp:posOffset>433659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642pt;width:1.65pt;height:1.65pt;mso-position-horizontal-relative:page;mso-position-vertical-relative:paragraph;z-index:15789568" id="docshape129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in affiliation with local chapters of House of Refuge and Habitat for Humanity Fellow, The American College of Trust and Estate Counsel, ACTEC</w:t>
      </w:r>
    </w:p>
    <w:p>
      <w:pPr>
        <w:pStyle w:val="BodyText"/>
        <w:spacing w:line="422" w:lineRule="auto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1060346</wp:posOffset>
                </wp:positionH>
                <wp:positionV relativeFrom="paragraph">
                  <wp:posOffset>63794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3194pt;width:1.65pt;height:1.65pt;mso-position-horizontal-relative:page;mso-position-vertical-relative:paragraph;z-index:15790080" id="docshape13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1060346</wp:posOffset>
                </wp:positionH>
                <wp:positionV relativeFrom="paragraph">
                  <wp:posOffset>322160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6962pt;width:1.65pt;height:1.65pt;mso-position-horizontal-relative:page;mso-position-vertical-relative:paragraph;z-index:15790592" id="docshape13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1060346</wp:posOffset>
                </wp:positionH>
                <wp:positionV relativeFrom="paragraph">
                  <wp:posOffset>580525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10705pt;width:1.65pt;height:1.65pt;mso-position-horizontal-relative:page;mso-position-vertical-relative:paragraph;z-index:15791104" id="docshape132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1060346</wp:posOffset>
                </wp:positionH>
                <wp:positionV relativeFrom="paragraph">
                  <wp:posOffset>844058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61319pt;width:1.65pt;height:1.65pt;mso-position-horizontal-relative:page;mso-position-vertical-relative:paragraph;z-index:15791616" id="docshape133" coordorigin="1670,1329" coordsize="33,33" path="m1691,1362l1682,1362,1678,1360,1671,1354,1670,1350,1670,1341,1671,1337,1678,1331,1682,1329,1691,1329,1694,1331,1701,1337,1702,1341,1702,1346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Fiduciary</w:t>
      </w:r>
      <w:r>
        <w:rPr>
          <w:color w:val="6E6158"/>
          <w:spacing w:val="40"/>
        </w:rPr>
        <w:t> </w:t>
      </w:r>
      <w:r>
        <w:rPr>
          <w:color w:val="6E6158"/>
        </w:rPr>
        <w:t>Income</w:t>
      </w:r>
      <w:r>
        <w:rPr>
          <w:color w:val="6E6158"/>
          <w:spacing w:val="40"/>
        </w:rPr>
        <w:t>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Committee,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Committee,</w:t>
      </w:r>
      <w:r>
        <w:rPr>
          <w:color w:val="6E6158"/>
          <w:spacing w:val="40"/>
        </w:rPr>
        <w:t> </w:t>
      </w:r>
      <w:r>
        <w:rPr>
          <w:color w:val="6E6158"/>
        </w:rPr>
        <w:t>ACTEC Inaugural</w:t>
      </w:r>
      <w:r>
        <w:rPr>
          <w:color w:val="6E6158"/>
          <w:spacing w:val="40"/>
        </w:rPr>
        <w:t> </w: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TGen</w:t>
      </w:r>
      <w:r>
        <w:rPr>
          <w:color w:val="6E6158"/>
          <w:spacing w:val="40"/>
        </w:rPr>
        <w:t> </w:t>
      </w:r>
      <w:r>
        <w:rPr>
          <w:color w:val="6E6158"/>
        </w:rPr>
        <w:t>Ambassadors,</w:t>
      </w:r>
      <w:r>
        <w:rPr>
          <w:color w:val="6E6158"/>
          <w:spacing w:val="40"/>
        </w:rPr>
        <w:t> </w:t>
      </w:r>
      <w:r>
        <w:rPr>
          <w:color w:val="6E6158"/>
        </w:rPr>
        <w:t>Translational</w:t>
      </w:r>
      <w:r>
        <w:rPr>
          <w:color w:val="6E6158"/>
          <w:spacing w:val="40"/>
        </w:rPr>
        <w:t> </w:t>
      </w:r>
      <w:r>
        <w:rPr>
          <w:color w:val="6E6158"/>
        </w:rPr>
        <w:t>Genomics</w:t>
      </w:r>
      <w:r>
        <w:rPr>
          <w:color w:val="6E6158"/>
          <w:spacing w:val="40"/>
        </w:rPr>
        <w:t> </w:t>
      </w:r>
      <w:r>
        <w:rPr>
          <w:color w:val="6E6158"/>
        </w:rPr>
        <w:t>Research</w:t>
      </w:r>
      <w:r>
        <w:rPr>
          <w:color w:val="6E6158"/>
          <w:spacing w:val="40"/>
        </w:rPr>
        <w:t> </w:t>
      </w:r>
      <w:r>
        <w:rPr>
          <w:color w:val="6E6158"/>
        </w:rPr>
        <w:t>Institute Member, Committee on Estate and Gift Taxes, Taxation Section, American Bar Association Past Chair and Member, Estate and Trust Advisory Commission, State Bar of Arizona</w:t>
      </w:r>
    </w:p>
    <w:p>
      <w:pPr>
        <w:pStyle w:val="BodyText"/>
        <w:spacing w:line="427" w:lineRule="auto"/>
        <w:ind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1060346</wp:posOffset>
                </wp:positionH>
                <wp:positionV relativeFrom="paragraph">
                  <wp:posOffset>61026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05219pt;width:1.65pt;height:1.65pt;mso-position-horizontal-relative:page;mso-position-vertical-relative:paragraph;z-index:15792128" id="docshape134" coordorigin="1670,96" coordsize="33,33" path="m1691,129l1682,129,1678,127,1671,121,1670,117,1670,108,1671,104,1678,98,1682,96,1691,96,1694,98,1701,104,1702,108,1702,112,1702,117,1701,121,1694,127,1691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1060346</wp:posOffset>
                </wp:positionH>
                <wp:positionV relativeFrom="paragraph">
                  <wp:posOffset>319392</wp:posOffset>
                </wp:positionV>
                <wp:extent cx="20955" cy="209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48987pt;width:1.65pt;height:1.65pt;mso-position-horizontal-relative:page;mso-position-vertical-relative:paragraph;z-index:15792640" id="docshape135" coordorigin="1670,503" coordsize="33,33" path="m1691,536l1682,536,1678,534,1671,528,1670,524,1670,515,1671,511,1678,505,1682,503,1691,503,1694,505,1701,511,1702,515,1702,519,1702,524,1701,528,1694,534,1691,5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Professional Education Series Planning Committee, Arizona Community </w:t>
      </w:r>
      <w:r>
        <w:rPr>
          <w:color w:val="6E6158"/>
        </w:rPr>
        <w:t>Foundation Past Officer, Board of Directors, Ballet Arizona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93152" id="docshape1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 of the Planned Giving Committee, Past Executive Committee Member, </w:t>
      </w:r>
      <w:r>
        <w:rPr>
          <w:color w:val="6E6158"/>
        </w:rPr>
        <w:t>Arthritis Foundation, Greater Southwest Chapter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93664" id="docshape13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Council Officer, Past Executive Board Member, Boy Scouts of America, Grand Canyon </w:t>
      </w:r>
      <w:r>
        <w:rPr>
          <w:color w:val="6E6158"/>
          <w:spacing w:val="-2"/>
        </w:rPr>
        <w:t>Council</w:t>
      </w:r>
    </w:p>
    <w:p>
      <w:pPr>
        <w:pStyle w:val="BodyText"/>
        <w:spacing w:line="420" w:lineRule="auto" w:before="123"/>
        <w:ind w:right="1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1060346</wp:posOffset>
                </wp:positionH>
                <wp:positionV relativeFrom="paragraph">
                  <wp:posOffset>142811</wp:posOffset>
                </wp:positionV>
                <wp:extent cx="20955" cy="2095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974pt;width:1.65pt;height:1.65pt;mso-position-horizontal-relative:page;mso-position-vertical-relative:paragraph;z-index:15794176" id="docshape138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1060346</wp:posOffset>
                </wp:positionH>
                <wp:positionV relativeFrom="paragraph">
                  <wp:posOffset>401176</wp:posOffset>
                </wp:positionV>
                <wp:extent cx="20955" cy="2095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873pt;width:1.65pt;height:1.65pt;mso-position-horizontal-relative:page;mso-position-vertical-relative:paragraph;z-index:15794688" id="docshape139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Professional Advisory Committee, Jewish Community </w:t>
      </w:r>
      <w:r>
        <w:rPr>
          <w:color w:val="6E6158"/>
        </w:rPr>
        <w:t>Foundation Past President, Past Board Member, Valley Estate Planners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1060346</wp:posOffset>
                </wp:positionH>
                <wp:positionV relativeFrom="paragraph">
                  <wp:posOffset>63697</wp:posOffset>
                </wp:positionV>
                <wp:extent cx="20955" cy="2095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512pt;width:1.65pt;height:1.65pt;mso-position-horizontal-relative:page;mso-position-vertical-relative:paragraph;z-index:15795200" id="docshape14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7"/>
        </w:rPr>
        <w:t> </w:t>
      </w:r>
      <w:r>
        <w:rPr>
          <w:color w:val="6E6158"/>
        </w:rPr>
        <w:t>President,</w:t>
      </w:r>
      <w:r>
        <w:rPr>
          <w:color w:val="6E6158"/>
          <w:spacing w:val="8"/>
        </w:rPr>
        <w:t> </w: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East</w:t>
      </w:r>
      <w:r>
        <w:rPr>
          <w:color w:val="6E6158"/>
          <w:spacing w:val="8"/>
        </w:rPr>
        <w:t> </w:t>
      </w:r>
      <w:r>
        <w:rPr>
          <w:color w:val="6E6158"/>
        </w:rPr>
        <w:t>Valley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9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1060346</wp:posOffset>
                </wp:positionH>
                <wp:positionV relativeFrom="paragraph">
                  <wp:posOffset>158132</wp:posOffset>
                </wp:positionV>
                <wp:extent cx="20955" cy="2095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398pt;width:1.65pt;height:1.65pt;mso-position-horizontal-relative:page;mso-position-vertical-relative:paragraph;z-index:15795712" id="docshape14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1060346</wp:posOffset>
                </wp:positionH>
                <wp:positionV relativeFrom="paragraph">
                  <wp:posOffset>416498</wp:posOffset>
                </wp:positionV>
                <wp:extent cx="20955" cy="2095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147pt;width:1.65pt;height:1.65pt;mso-position-horizontal-relative:page;mso-position-vertical-relative:paragraph;z-index:15796224" id="docshape142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</w:t>
      </w:r>
      <w:r>
        <w:rPr>
          <w:color w:val="6E6158"/>
          <w:spacing w:val="-4"/>
        </w:rPr>
        <w:t>Utah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1060346</wp:posOffset>
                </wp:positionH>
                <wp:positionV relativeFrom="paragraph">
                  <wp:posOffset>63778</wp:posOffset>
                </wp:positionV>
                <wp:extent cx="20955" cy="20955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928pt;width:1.65pt;height:1.65pt;mso-position-horizontal-relative:page;mso-position-vertical-relative:paragraph;z-index:15796736" id="docshape14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1060346</wp:posOffset>
                </wp:positionH>
                <wp:positionV relativeFrom="paragraph">
                  <wp:posOffset>175227</wp:posOffset>
                </wp:positionV>
                <wp:extent cx="20955" cy="2095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456pt;width:1.65pt;height:1.65pt;mso-position-horizontal-relative:page;mso-position-vertical-relative:paragraph;z-index:15797248" id="docshape144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Specialist</w:t>
      </w:r>
      <w:r>
        <w:rPr>
          <w:color w:val="6E6158"/>
          <w:spacing w:val="11"/>
        </w:rPr>
        <w:t> </w:t>
      </w:r>
      <w:r>
        <w:rPr>
          <w:color w:val="6E6158"/>
        </w:rPr>
        <w:t>(Board</w:t>
      </w:r>
      <w:r>
        <w:rPr>
          <w:color w:val="6E6158"/>
          <w:spacing w:val="10"/>
        </w:rPr>
        <w:t> </w:t>
      </w:r>
      <w:r>
        <w:rPr>
          <w:color w:val="6E6158"/>
        </w:rPr>
        <w:t>Certified,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lee@fennemorelaw.com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s://www.fennemorelaw.com/insights/newsletters/2020/recent-tax-developments-2020-april-refresher-on-benefits-under-the-cares-act" TargetMode="External"/><Relationship Id="rId13" Type="http://schemas.openxmlformats.org/officeDocument/2006/relationships/hyperlink" Target="https://www.fennemorelaw.com/insights/newsletters/2020/irs-and-the-arizona-department-of-revenue-extend-tax-filing-deadlines-to-july-15" TargetMode="External"/><Relationship Id="rId14" Type="http://schemas.openxmlformats.org/officeDocument/2006/relationships/hyperlink" Target="https://www.fennemorelaw.com/insights/newsletters/2020/recent-tax-developments-2020-january---the-secure-act" TargetMode="External"/><Relationship Id="rId15" Type="http://schemas.openxmlformats.org/officeDocument/2006/relationships/hyperlink" Target="https://www.fennemorelaw.com/insights/newsletters/2019/end-of-year-tax-saving-moves---2019" TargetMode="External"/><Relationship Id="rId16" Type="http://schemas.openxmlformats.org/officeDocument/2006/relationships/hyperlink" Target="http://clientalert.fennemorecraig.com/tax_dec2019" TargetMode="External"/><Relationship Id="rId17" Type="http://schemas.openxmlformats.org/officeDocument/2006/relationships/hyperlink" Target="https://clientalert.fennemorecraig.com/tax_dec2019" TargetMode="External"/><Relationship Id="rId18" Type="http://schemas.openxmlformats.org/officeDocument/2006/relationships/hyperlink" Target="http://www.fclaw.com/insights/newsletters/2019/recent-tax-developments---2019-april" TargetMode="External"/><Relationship Id="rId19" Type="http://schemas.openxmlformats.org/officeDocument/2006/relationships/hyperlink" Target="https://www.fclaw.com/insights/newsletters/2019/recent-tax-developments---2019-april" TargetMode="External"/><Relationship Id="rId20" Type="http://schemas.openxmlformats.org/officeDocument/2006/relationships/hyperlink" Target="https://www.fennemorelaw.com/insights/newsletters/2018/recent-tax-developments---2018-july" TargetMode="External"/><Relationship Id="rId21" Type="http://schemas.openxmlformats.org/officeDocument/2006/relationships/hyperlink" Target="https://www.fclaw.com/insights/newsletters/2018/recent-tax-developments---2018-july" TargetMode="External"/><Relationship Id="rId22" Type="http://schemas.openxmlformats.org/officeDocument/2006/relationships/hyperlink" Target="https://actecfoundation.org/podcasts/new-partnership-audit-rules-2018/" TargetMode="External"/><Relationship Id="rId23" Type="http://schemas.openxmlformats.org/officeDocument/2006/relationships/hyperlink" Target="https://www.fclaw.com/insights/newsletters/2018/recent-tax-developments---2018-january" TargetMode="External"/><Relationship Id="rId24" Type="http://schemas.openxmlformats.org/officeDocument/2006/relationships/hyperlink" Target="https://clientalert.fennemorecraig.com/secure-act" TargetMode="External"/><Relationship Id="rId25" Type="http://schemas.openxmlformats.org/officeDocument/2006/relationships/hyperlink" Target="https://www.fennemorelaw.com/insights/newsletters/2018/recent-tax-developments---2018-january" TargetMode="External"/><Relationship Id="rId26" Type="http://schemas.openxmlformats.org/officeDocument/2006/relationships/hyperlink" Target="http://www.fclaw.com/insights/newsletters/2017/tax-planning-checklists--2017-end-of-year" TargetMode="External"/><Relationship Id="rId27" Type="http://schemas.openxmlformats.org/officeDocument/2006/relationships/hyperlink" Target="https://www.fennemorelaw.com/insights/newsletters/2017/tax-planning-checklists--2017-end-of-year" TargetMode="External"/><Relationship Id="rId28" Type="http://schemas.openxmlformats.org/officeDocument/2006/relationships/hyperlink" Target="https://www.fennemorelaw.com/insights/newsletters/2017/recent-tax-developments---april-2017" TargetMode="External"/><Relationship Id="rId29" Type="http://schemas.openxmlformats.org/officeDocument/2006/relationships/hyperlink" Target="https://www.fclaw.com/insights/newsletters/2017/recent-tax-developments---april-2017" TargetMode="External"/><Relationship Id="rId30" Type="http://schemas.openxmlformats.org/officeDocument/2006/relationships/hyperlink" Target="https://www.fennemorelaw.com/insights/newsletters/2016/recent-tax-developments---october-2016" TargetMode="External"/><Relationship Id="rId31" Type="http://schemas.openxmlformats.org/officeDocument/2006/relationships/hyperlink" Target="https://www.fclaw.com/insights/newsletters/2016/recent-tax-developments---october-2016" TargetMode="External"/><Relationship Id="rId32" Type="http://schemas.openxmlformats.org/officeDocument/2006/relationships/hyperlink" Target="http://www.fclaw.com/insights/newsletters/2016/valuation-discounts-going-going-" TargetMode="External"/><Relationship Id="rId33" Type="http://schemas.openxmlformats.org/officeDocument/2006/relationships/hyperlink" Target="https://www.fennemorelaw.com/insights/newsletters/2016/valuation-discounts-going-going-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 James Lee - Fennemore</dc:title>
  <dcterms:created xsi:type="dcterms:W3CDTF">2026-04-20T22:18:35Z</dcterms:created>
  <dcterms:modified xsi:type="dcterms:W3CDTF">2026-04-20T22:18:35Z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2026-04-20T00:00:00Z</vt:filetime>
  </property>
  <property fmtid="{D5CDD505-2E9C-101B-9397-08002B2CF9AE}" pid="6" name="Producer">
    <vt:lpwstr>Skia/PDF m146</vt:lpwstr>
  </property>
</Properties>
</file>