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im Ander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20" w:right="32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TIMOTHY 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ANDERSON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484.810.4470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tanderson@fennemorelaw.com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im Anderso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20" w:right="32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TIMOTHY 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ANDERSON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484.810.4470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tanderson@fennemorelaw.com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TIMOTHY</w:t>
      </w:r>
      <w:r>
        <w:rPr>
          <w:color w:val="FF8100"/>
          <w:spacing w:val="7"/>
        </w:rPr>
        <w:t> </w:t>
      </w:r>
      <w:r>
        <w:rPr>
          <w:color w:val="FF8100"/>
        </w:rPr>
        <w:t>B.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ANDERSON</w:t>
      </w:r>
    </w:p>
    <w:p>
      <w:pPr>
        <w:pStyle w:val="BodyText"/>
        <w:spacing w:line="297" w:lineRule="auto" w:before="147"/>
        <w:ind w:right="532"/>
      </w:pPr>
      <w:r>
        <w:rPr>
          <w:color w:val="6E6158"/>
        </w:rPr>
        <w:t>Timothy B. Anderson is an economic development and infrastructure finance lawyer with </w:t>
      </w:r>
      <w:r>
        <w:rPr>
          <w:color w:val="6E6158"/>
        </w:rPr>
        <w:t>more</w:t>
      </w:r>
      <w:r>
        <w:rPr>
          <w:color w:val="6E6158"/>
          <w:spacing w:val="40"/>
        </w:rPr>
        <w:t> </w:t>
      </w:r>
      <w:r>
        <w:rPr>
          <w:color w:val="6E6158"/>
        </w:rPr>
        <w:t>than 20 years of experience advising clients on public finance, project finance, and complex</w:t>
      </w:r>
      <w:r>
        <w:rPr>
          <w:color w:val="6E6158"/>
          <w:spacing w:val="40"/>
        </w:rPr>
        <w:t> </w:t>
      </w:r>
      <w:r>
        <w:rPr>
          <w:color w:val="6E6158"/>
        </w:rPr>
        <w:t>economic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40"/>
        </w:rPr>
        <w:t> </w:t>
      </w:r>
      <w:r>
        <w:rPr>
          <w:color w:val="6E6158"/>
        </w:rPr>
        <w:t>States.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40"/>
        </w:rPr>
        <w:t> </w:t>
      </w:r>
      <w:r>
        <w:rPr>
          <w:color w:val="6E6158"/>
        </w:rPr>
        <w:t>municipalities,</w:t>
      </w:r>
    </w:p>
    <w:p>
      <w:pPr>
        <w:pStyle w:val="BodyText"/>
        <w:spacing w:line="292" w:lineRule="auto"/>
        <w:ind w:right="1009"/>
      </w:pPr>
      <w:r>
        <w:rPr>
          <w:color w:val="6E6158"/>
        </w:rPr>
        <w:t>corporations,</w:t>
      </w:r>
      <w:r>
        <w:rPr>
          <w:color w:val="6E6158"/>
          <w:spacing w:val="16"/>
        </w:rPr>
        <w:t> </w:t>
      </w:r>
      <w:r>
        <w:rPr>
          <w:color w:val="6E6158"/>
        </w:rPr>
        <w:t>developers,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institutional</w:t>
      </w:r>
      <w:r>
        <w:rPr>
          <w:color w:val="6E6158"/>
          <w:spacing w:val="16"/>
        </w:rPr>
        <w:t> </w:t>
      </w:r>
      <w:r>
        <w:rPr>
          <w:color w:val="6E6158"/>
        </w:rPr>
        <w:t>stakeholders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wide</w:t>
      </w:r>
      <w:r>
        <w:rPr>
          <w:color w:val="6E6158"/>
          <w:spacing w:val="16"/>
        </w:rPr>
        <w:t> </w:t>
      </w:r>
      <w:r>
        <w:rPr>
          <w:color w:val="6E6158"/>
        </w:rPr>
        <w:t>range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taxable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tax-exempt</w:t>
      </w:r>
      <w:r>
        <w:rPr>
          <w:color w:val="6E6158"/>
          <w:spacing w:val="40"/>
        </w:rPr>
        <w:t> </w:t>
      </w:r>
      <w:r>
        <w:rPr>
          <w:color w:val="6E6158"/>
        </w:rPr>
        <w:t>bond</w:t>
      </w:r>
      <w:r>
        <w:rPr>
          <w:color w:val="6E6158"/>
          <w:spacing w:val="40"/>
        </w:rPr>
        <w:t> </w:t>
      </w:r>
      <w:r>
        <w:rPr>
          <w:color w:val="6E6158"/>
        </w:rPr>
        <w:t>financings,</w:t>
      </w:r>
      <w:r>
        <w:rPr>
          <w:color w:val="6E6158"/>
          <w:spacing w:val="40"/>
        </w:rPr>
        <w:t> </w:t>
      </w:r>
      <w:r>
        <w:rPr>
          <w:color w:val="6E6158"/>
        </w:rPr>
        <w:t>public-private</w:t>
      </w:r>
      <w:r>
        <w:rPr>
          <w:color w:val="6E6158"/>
          <w:spacing w:val="40"/>
        </w:rPr>
        <w:t> </w:t>
      </w:r>
      <w:r>
        <w:rPr>
          <w:color w:val="6E6158"/>
        </w:rPr>
        <w:t>partnerships,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bond</w:t>
      </w:r>
      <w:r>
        <w:rPr>
          <w:color w:val="6E6158"/>
          <w:spacing w:val="40"/>
        </w:rPr>
        <w:t> </w:t>
      </w:r>
      <w:r>
        <w:rPr>
          <w:color w:val="6E6158"/>
        </w:rPr>
        <w:t>issuances.</w:t>
      </w:r>
    </w:p>
    <w:p>
      <w:pPr>
        <w:pStyle w:val="BodyText"/>
        <w:spacing w:line="292" w:lineRule="auto" w:before="201"/>
      </w:pPr>
      <w:r>
        <w:rPr>
          <w:color w:val="6E6158"/>
        </w:rPr>
        <w:t>Tim serves in multiple key roles in financing transactions, including bond counsel, underwriter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placement agent counsel, issuer counsel, and developer counsel, with additional experience in</w:t>
      </w:r>
      <w:r>
        <w:rPr>
          <w:color w:val="6E6158"/>
          <w:spacing w:val="40"/>
        </w:rPr>
        <w:t> </w:t>
      </w:r>
      <w:r>
        <w:rPr>
          <w:color w:val="6E6158"/>
        </w:rPr>
        <w:t>secondary</w:t>
      </w:r>
      <w:r>
        <w:rPr>
          <w:color w:val="6E6158"/>
          <w:spacing w:val="37"/>
        </w:rPr>
        <w:t> </w:t>
      </w:r>
      <w:r>
        <w:rPr>
          <w:color w:val="6E6158"/>
        </w:rPr>
        <w:t>market</w:t>
      </w:r>
      <w:r>
        <w:rPr>
          <w:color w:val="6E6158"/>
          <w:spacing w:val="37"/>
        </w:rPr>
        <w:t> </w:t>
      </w:r>
      <w:r>
        <w:rPr>
          <w:color w:val="6E6158"/>
        </w:rPr>
        <w:t>transactions.</w:t>
      </w:r>
      <w:r>
        <w:rPr>
          <w:color w:val="6E6158"/>
          <w:spacing w:val="37"/>
        </w:rPr>
        <w:t> </w:t>
      </w:r>
      <w:r>
        <w:rPr>
          <w:color w:val="6E6158"/>
        </w:rPr>
        <w:t>His</w:t>
      </w:r>
      <w:r>
        <w:rPr>
          <w:color w:val="6E6158"/>
          <w:spacing w:val="37"/>
        </w:rPr>
        <w:t> </w:t>
      </w:r>
      <w:r>
        <w:rPr>
          <w:color w:val="6E6158"/>
        </w:rPr>
        <w:t>practice</w:t>
      </w:r>
      <w:r>
        <w:rPr>
          <w:color w:val="6E6158"/>
          <w:spacing w:val="37"/>
        </w:rPr>
        <w:t> </w:t>
      </w:r>
      <w:r>
        <w:rPr>
          <w:color w:val="6E6158"/>
        </w:rPr>
        <w:t>covers</w:t>
      </w:r>
      <w:r>
        <w:rPr>
          <w:color w:val="6E6158"/>
          <w:spacing w:val="37"/>
        </w:rPr>
        <w:t> </w:t>
      </w:r>
      <w:r>
        <w:rPr>
          <w:color w:val="6E6158"/>
        </w:rPr>
        <w:t>both</w:t>
      </w:r>
      <w:r>
        <w:rPr>
          <w:color w:val="6E6158"/>
          <w:spacing w:val="37"/>
        </w:rPr>
        <w:t> </w:t>
      </w:r>
      <w:r>
        <w:rPr>
          <w:color w:val="6E6158"/>
        </w:rPr>
        <w:t>public</w:t>
      </w:r>
      <w:r>
        <w:rPr>
          <w:color w:val="6E6158"/>
          <w:spacing w:val="37"/>
        </w:rPr>
        <w:t> </w:t>
      </w:r>
      <w:r>
        <w:rPr>
          <w:color w:val="6E6158"/>
        </w:rPr>
        <w:t>offerings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private</w:t>
      </w:r>
    </w:p>
    <w:p>
      <w:pPr>
        <w:pStyle w:val="BodyText"/>
        <w:spacing w:line="297" w:lineRule="auto" w:before="1"/>
        <w:ind w:right="532"/>
      </w:pPr>
      <w:r>
        <w:rPr>
          <w:color w:val="6E6158"/>
        </w:rPr>
        <w:t>placements, providing strategic guidance to school districts, townships, and other </w:t>
      </w:r>
      <w:r>
        <w:rPr>
          <w:color w:val="6E6158"/>
        </w:rPr>
        <w:t>municipal</w:t>
      </w:r>
      <w:r>
        <w:rPr>
          <w:color w:val="6E6158"/>
          <w:spacing w:val="40"/>
        </w:rPr>
        <w:t> </w:t>
      </w:r>
      <w:r>
        <w:rPr>
          <w:color w:val="6E6158"/>
        </w:rPr>
        <w:t>entities throughout Pennsylvania, as well as to clients in the healthcare, manufacturing,</w:t>
      </w:r>
      <w:r>
        <w:rPr>
          <w:color w:val="6E6158"/>
          <w:spacing w:val="40"/>
        </w:rPr>
        <w:t> </w:t>
      </w:r>
      <w:r>
        <w:rPr>
          <w:color w:val="6E6158"/>
        </w:rPr>
        <w:t>commercial,</w:t>
      </w:r>
      <w:r>
        <w:rPr>
          <w:color w:val="6E6158"/>
          <w:spacing w:val="40"/>
        </w:rPr>
        <w:t> </w:t>
      </w:r>
      <w:r>
        <w:rPr>
          <w:color w:val="6E6158"/>
        </w:rPr>
        <w:t>broadband,</w:t>
      </w:r>
      <w:r>
        <w:rPr>
          <w:color w:val="6E6158"/>
          <w:spacing w:val="40"/>
        </w:rPr>
        <w:t> </w:t>
      </w:r>
      <w:r>
        <w:rPr>
          <w:color w:val="6E6158"/>
        </w:rPr>
        <w:t>renewable</w:t>
      </w:r>
      <w:r>
        <w:rPr>
          <w:color w:val="6E6158"/>
          <w:spacing w:val="40"/>
        </w:rPr>
        <w:t> </w:t>
      </w:r>
      <w:r>
        <w:rPr>
          <w:color w:val="6E6158"/>
        </w:rPr>
        <w:t>energy,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education</w:t>
      </w:r>
      <w:r>
        <w:rPr>
          <w:color w:val="6E6158"/>
          <w:spacing w:val="40"/>
        </w:rPr>
        <w:t> </w:t>
      </w:r>
      <w:r>
        <w:rPr>
          <w:color w:val="6E6158"/>
        </w:rPr>
        <w:t>sectors</w:t>
      </w:r>
      <w:r>
        <w:rPr>
          <w:color w:val="6E6158"/>
          <w:spacing w:val="40"/>
        </w:rPr>
        <w:t> </w:t>
      </w:r>
      <w:r>
        <w:rPr>
          <w:color w:val="6E6158"/>
        </w:rPr>
        <w:t>nationwide.</w:t>
      </w:r>
    </w:p>
    <w:p>
      <w:pPr>
        <w:pStyle w:val="BodyText"/>
        <w:spacing w:line="295" w:lineRule="auto" w:before="192"/>
        <w:ind w:right="532"/>
      </w:pPr>
      <w:r>
        <w:rPr>
          <w:color w:val="6E6158"/>
        </w:rPr>
        <w:t>With a strong focus on infrastructure finance and capital markets, Tim advises on </w:t>
      </w:r>
      <w:r>
        <w:rPr>
          <w:color w:val="6E6158"/>
        </w:rPr>
        <w:t>sophisticated</w:t>
      </w:r>
      <w:r>
        <w:rPr>
          <w:color w:val="6E6158"/>
          <w:spacing w:val="40"/>
        </w:rPr>
        <w:t> </w:t>
      </w:r>
      <w:r>
        <w:rPr>
          <w:color w:val="6E6158"/>
        </w:rPr>
        <w:t>financial structures, including security instrument transactions, bond monetizations, repurchase</w:t>
      </w:r>
      <w:r>
        <w:rPr>
          <w:color w:val="6E6158"/>
          <w:spacing w:val="40"/>
        </w:rPr>
        <w:t> </w:t>
      </w:r>
      <w:r>
        <w:rPr>
          <w:color w:val="6E6158"/>
        </w:rPr>
        <w:t>agreements, stand-by letters of credit, and mid-term note programs. He is also experienced in</w:t>
      </w:r>
      <w:r>
        <w:rPr>
          <w:color w:val="6E6158"/>
          <w:spacing w:val="40"/>
        </w:rPr>
        <w:t> </w:t>
      </w:r>
      <w:r>
        <w:rPr>
          <w:color w:val="6E6158"/>
        </w:rPr>
        <w:t>navigating secondary market transactions, helping clients maximize value and manage risk in</w:t>
      </w:r>
      <w:r>
        <w:rPr>
          <w:color w:val="6E6158"/>
          <w:spacing w:val="40"/>
        </w:rPr>
        <w:t> </w:t>
      </w:r>
      <w:r>
        <w:rPr>
          <w:color w:val="6E6158"/>
        </w:rPr>
        <w:t>evolving financial environments.</w:t>
      </w:r>
    </w:p>
    <w:p>
      <w:pPr>
        <w:pStyle w:val="BodyText"/>
        <w:spacing w:before="203"/>
        <w:jc w:val="both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</w:rPr>
        <w:t>work,</w:t>
      </w:r>
      <w:r>
        <w:rPr>
          <w:color w:val="6E6158"/>
          <w:spacing w:val="11"/>
        </w:rPr>
        <w:t> </w:t>
      </w:r>
      <w:r>
        <w:rPr>
          <w:color w:val="6E6158"/>
        </w:rPr>
        <w:t>Tim</w:t>
      </w:r>
      <w:r>
        <w:rPr>
          <w:color w:val="6E6158"/>
          <w:spacing w:val="11"/>
        </w:rPr>
        <w:t> </w:t>
      </w:r>
      <w:r>
        <w:rPr>
          <w:color w:val="6E6158"/>
        </w:rPr>
        <w:t>counsels</w:t>
      </w:r>
      <w:r>
        <w:rPr>
          <w:color w:val="6E6158"/>
          <w:spacing w:val="12"/>
        </w:rPr>
        <w:t> </w:t>
      </w:r>
      <w:r>
        <w:rPr>
          <w:color w:val="6E6158"/>
        </w:rPr>
        <w:t>Native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tribes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economic</w:t>
      </w:r>
    </w:p>
    <w:p>
      <w:pPr>
        <w:pStyle w:val="BodyText"/>
        <w:spacing w:line="292" w:lineRule="auto" w:before="52"/>
        <w:ind w:right="735"/>
        <w:jc w:val="both"/>
      </w:pPr>
      <w:r>
        <w:rPr>
          <w:color w:val="6E6158"/>
        </w:rPr>
        <w:t>development initiatives, including matters involving tribal sovereignty and financing structures. He also has extensive experience with USDA financing programs, supporting infrastructure </w:t>
      </w:r>
      <w:r>
        <w:rPr>
          <w:color w:val="6E6158"/>
        </w:rPr>
        <w:t>and development</w:t>
      </w:r>
      <w:r>
        <w:rPr>
          <w:color w:val="6E6158"/>
          <w:spacing w:val="40"/>
        </w:rPr>
        <w:t> </w:t>
      </w:r>
      <w:r>
        <w:rPr>
          <w:color w:val="6E6158"/>
        </w:rPr>
        <w:t>projects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rural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underserved</w:t>
      </w:r>
      <w:r>
        <w:rPr>
          <w:color w:val="6E6158"/>
          <w:spacing w:val="40"/>
        </w:rPr>
        <w:t> </w:t>
      </w:r>
      <w:r>
        <w:rPr>
          <w:color w:val="6E6158"/>
        </w:rPr>
        <w:t>communities</w:t>
      </w:r>
      <w:r>
        <w:rPr>
          <w:color w:val="6E6158"/>
          <w:spacing w:val="40"/>
        </w:rPr>
        <w:t> </w:t>
      </w:r>
      <w:r>
        <w:rPr>
          <w:color w:val="6E6158"/>
        </w:rPr>
        <w:t>throughout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country.</w:t>
      </w:r>
    </w:p>
    <w:p>
      <w:pPr>
        <w:pStyle w:val="BodyText"/>
        <w:spacing w:line="292" w:lineRule="auto" w:before="205"/>
        <w:ind w:right="532"/>
      </w:pPr>
      <w:r>
        <w:rPr>
          <w:color w:val="6E6158"/>
        </w:rPr>
        <w:t>Tim serves as Deputy General Counsel to the Vidocq Society, an international crime-solving</w:t>
      </w:r>
      <w:r>
        <w:rPr>
          <w:color w:val="6E6158"/>
          <w:spacing w:val="40"/>
        </w:rPr>
        <w:t> </w:t>
      </w:r>
      <w:r>
        <w:rPr>
          <w:color w:val="6E6158"/>
        </w:rPr>
        <w:t>organization based in Philadelphia, where law enforcement agencies from around the </w:t>
      </w:r>
      <w:r>
        <w:rPr>
          <w:color w:val="6E6158"/>
        </w:rPr>
        <w:t>world</w:t>
      </w:r>
      <w:r>
        <w:rPr>
          <w:color w:val="6E6158"/>
          <w:spacing w:val="40"/>
        </w:rPr>
        <w:t> </w:t>
      </w:r>
      <w:r>
        <w:rPr>
          <w:color w:val="6E6158"/>
        </w:rPr>
        <w:t>collaborate to review and advance cold cases.</w:t>
      </w:r>
    </w:p>
    <w:p>
      <w:pPr>
        <w:pStyle w:val="BodyText"/>
        <w:spacing w:line="297" w:lineRule="auto" w:before="197"/>
        <w:ind w:right="472"/>
      </w:pPr>
      <w:r>
        <w:rPr>
          <w:color w:val="6E6158"/>
        </w:rPr>
        <w:t>Before joining Fennemore, Tim practiced at nationally recognized Am Law firms and prominent</w:t>
      </w:r>
      <w:r>
        <w:rPr>
          <w:color w:val="6E6158"/>
          <w:spacing w:val="40"/>
        </w:rPr>
        <w:t> </w:t>
      </w:r>
      <w:r>
        <w:rPr>
          <w:color w:val="6E6158"/>
        </w:rPr>
        <w:t>Philadelphia-based law firms, further strengthening his experience in corporate law, </w:t>
      </w:r>
      <w:r>
        <w:rPr>
          <w:color w:val="6E6158"/>
        </w:rPr>
        <w:t>infrastructure</w:t>
      </w:r>
      <w:r>
        <w:rPr>
          <w:color w:val="6E6158"/>
          <w:spacing w:val="40"/>
        </w:rPr>
        <w:t> </w:t>
      </w:r>
      <w:r>
        <w:rPr>
          <w:color w:val="6E6158"/>
        </w:rPr>
        <w:t>finance, and complex transactional matters.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Vermont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7" w:lineRule="auto" w:before="174"/>
        <w:ind w:left="351" w:right="32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49pt;width:1.65pt;height:1.65pt;mso-position-horizontal-relative:page;mso-position-vertical-relative:paragraph;z-index:15730176" id="docshape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L.L.M. in Tax, Villanova University Charles Widger School of </w:t>
      </w:r>
      <w:r>
        <w:rPr>
          <w:color w:val="6E6158"/>
        </w:rPr>
        <w:t>Law</w:t>
      </w:r>
      <w:r>
        <w:rPr>
          <w:color w:val="6E6158"/>
        </w:rPr>
        <w:t> B.A., Fordham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left="351" w:right="70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157867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504pt;width:1.65pt;height:1.65pt;mso-position-horizontal-relative:page;mso-position-vertical-relative:paragraph;z-index:15730688" id="docshape1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416232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25pt;width:1.65pt;height:1.65pt;mso-position-horizontal-relative:page;mso-position-vertical-relative:paragraph;z-index:15731200" id="docshape1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674598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8pt;width:1.65pt;height:1.65pt;mso-position-horizontal-relative:page;mso-position-vertical-relative:paragraph;z-index:15731712" id="docshape12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932964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61746pt;width:1.65pt;height:1.65pt;mso-position-horizontal-relative:page;mso-position-vertical-relative:paragraph;z-index:15732224" id="docshape13" coordorigin="1670,1469" coordsize="33,33" path="m1691,1502l1682,1502,1678,1500,1671,1494,1670,1490,1670,1481,1671,1477,1678,1471,1682,1469,1691,1469,1694,1471,1701,1477,1702,1481,1702,1486,1702,1490,1701,1494,1694,1500,1691,15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Financial </w:t>
      </w:r>
      <w:r>
        <w:rPr>
          <w:color w:val="6E6158"/>
        </w:rPr>
        <w:t>Restructuring Mergers &amp; Acquisitions Tax Law</w:t>
      </w:r>
    </w:p>
    <w:p>
      <w:pPr>
        <w:pStyle w:val="BodyText"/>
        <w:spacing w:line="229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61753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62516pt;width:1.65pt;height:1.65pt;mso-position-horizontal-relative:page;mso-position-vertical-relative:paragraph;z-index:15732736" id="docshape14" coordorigin="1670,97" coordsize="33,33" path="m1691,130l1682,130,1678,128,1671,122,1670,118,1670,109,1671,105,1678,99,1682,97,1691,97,1694,99,1701,105,1702,109,1702,114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Water</w:t>
      </w:r>
      <w:r>
        <w:rPr>
          <w:color w:val="6E6158"/>
          <w:spacing w:val="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157600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465pt;width:1.65pt;height:1.65pt;mso-position-horizontal-relative:page;mso-position-vertical-relative:paragraph;z-index:15733248" id="docshape15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New</w:t>
      </w:r>
      <w:r>
        <w:rPr>
          <w:color w:val="6E6158"/>
          <w:spacing w:val="1"/>
        </w:rPr>
        <w:t> </w:t>
      </w:r>
      <w:r>
        <w:rPr>
          <w:color w:val="6E6158"/>
        </w:rPr>
        <w:t>York</w:t>
      </w:r>
      <w:r>
        <w:rPr>
          <w:color w:val="6E6158"/>
          <w:spacing w:val="1"/>
        </w:rPr>
        <w:t> </w:t>
      </w:r>
      <w:r>
        <w:rPr>
          <w:color w:val="6E6158"/>
        </w:rPr>
        <w:t>Bar</w:t>
      </w:r>
      <w:r>
        <w:rPr>
          <w:color w:val="6E6158"/>
          <w:spacing w:val="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82"/>
        <w:ind w:left="351" w:right="1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175329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508pt;width:1.65pt;height:1.65pt;mso-position-horizontal-relative:page;mso-position-vertical-relative:paragraph;z-index:15733760" id="docshape1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433695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258pt;width:1.65pt;height:1.65pt;mso-position-horizontal-relative:page;mso-position-vertical-relative:paragraph;z-index:15734272" id="docshape17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 and Past President, Pennsylvania Association of Bond </w:t>
      </w:r>
      <w:r>
        <w:rPr>
          <w:color w:val="6E6158"/>
        </w:rPr>
        <w:t>Lawyers Member, Pennsylvania Bar Association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63918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915pt;width:1.65pt;height:1.65pt;mso-position-horizontal-relative:page;mso-position-vertical-relative:paragraph;z-index:15734784" id="docshape18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Deputy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Counsel,</w:t>
      </w:r>
      <w:r>
        <w:rPr>
          <w:color w:val="6E6158"/>
          <w:spacing w:val="15"/>
        </w:rPr>
        <w:t> </w:t>
      </w:r>
      <w:r>
        <w:rPr>
          <w:color w:val="6E6158"/>
        </w:rPr>
        <w:t>Vidocq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left="351" w:right="77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158005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1394pt;width:1.65pt;height:1.65pt;mso-position-horizontal-relative:page;mso-position-vertical-relative:paragraph;z-index:15735296" id="docshape1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416370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5114pt;width:1.65pt;height:1.65pt;mso-position-horizontal-relative:page;mso-position-vertical-relative:paragraph;z-index:15735808" id="docshape20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Pennsylvania </w:t>
      </w:r>
      <w:r>
        <w:rPr>
          <w:color w:val="6E6158"/>
        </w:rPr>
        <w:t>New 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tander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B. Anderson - Fennemore</dc:title>
  <dcterms:created xsi:type="dcterms:W3CDTF">2026-04-02T02:18:06Z</dcterms:created>
  <dcterms:modified xsi:type="dcterms:W3CDTF">2026-04-02T02:18:06Z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2026-04-02T00:00:00Z</vt:filetime>
  </property>
  <property fmtid="{D5CDD505-2E9C-101B-9397-08002B2CF9AE}" pid="5" name="Producer">
    <vt:lpwstr>Skia/PDF m146</vt:lpwstr>
  </property>
</Properties>
</file>