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ill Klain 8550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3434" y="1369338"/>
                            <a:ext cx="209804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320675">
                                <a:moveTo>
                                  <a:pt x="20979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7925" y="320382"/>
                                </a:lnTo>
                                <a:lnTo>
                                  <a:pt x="2097925" y="315214"/>
                                </a:lnTo>
                                <a:close/>
                              </a:path>
                              <a:path w="2098040" h="320675">
                                <a:moveTo>
                                  <a:pt x="2097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7925" y="5168"/>
                                </a:lnTo>
                                <a:lnTo>
                                  <a:pt x="209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05052" y="763308"/>
                            <a:ext cx="21101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WILLIAM 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KLAIN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97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764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544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6187" y="2226505"/>
                            <a:ext cx="1407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wklain@fennemorelaw.com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ill Klain 8550web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53;top:-2501;width:3304;height:505" id="docshape5" coordorigin="6853,-2500" coordsize="3304,505" path="m10157,-2004l6853,-2004,6853,-1996,10157,-1996,10157,-2004xm10157,-2500l6853,-2500,6853,-2492,10157,-2492,10157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5;top:-3455;width:332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WILLIAM 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KLAIN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6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602.916.5308</w:t>
                        </w:r>
                      </w:p>
                    </w:txbxContent>
                  </v:textbox>
                  <w10:wrap type="none"/>
                </v:shape>
                <v:shape style="position:absolute;left:880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08;top:-1151;width:221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wklain@fennemorelaw.com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WILLIAM</w:t>
      </w:r>
      <w:r>
        <w:rPr>
          <w:color w:val="FF8100"/>
          <w:spacing w:val="7"/>
        </w:rPr>
        <w:t> </w:t>
      </w:r>
      <w:r>
        <w:rPr>
          <w:color w:val="FF8100"/>
        </w:rPr>
        <w:t>G.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KLAIN</w:t>
      </w:r>
    </w:p>
    <w:p>
      <w:pPr>
        <w:pStyle w:val="BodyText"/>
        <w:spacing w:line="295" w:lineRule="auto" w:before="147"/>
        <w:ind w:left="99" w:right="139"/>
      </w:pP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impressive</w:t>
      </w:r>
      <w:r>
        <w:rPr>
          <w:color w:val="6E6158"/>
          <w:spacing w:val="15"/>
        </w:rPr>
        <w:t> </w:t>
      </w:r>
      <w:r>
        <w:rPr>
          <w:color w:val="6E6158"/>
        </w:rPr>
        <w:t>career</w:t>
      </w:r>
      <w:r>
        <w:rPr>
          <w:color w:val="6E6158"/>
          <w:spacing w:val="15"/>
        </w:rPr>
        <w:t> </w:t>
      </w:r>
      <w:r>
        <w:rPr>
          <w:color w:val="6E6158"/>
        </w:rPr>
        <w:t>spanning</w:t>
      </w:r>
      <w:r>
        <w:rPr>
          <w:color w:val="6E6158"/>
          <w:spacing w:val="15"/>
        </w:rPr>
        <w:t> </w:t>
      </w:r>
      <w:r>
        <w:rPr>
          <w:color w:val="6E6158"/>
        </w:rPr>
        <w:t>over</w:t>
      </w:r>
      <w:r>
        <w:rPr>
          <w:color w:val="6E6158"/>
          <w:spacing w:val="15"/>
        </w:rPr>
        <w:t> </w:t>
      </w:r>
      <w:r>
        <w:rPr>
          <w:color w:val="6E6158"/>
        </w:rPr>
        <w:t>30</w:t>
      </w:r>
      <w:r>
        <w:rPr>
          <w:color w:val="6E6158"/>
          <w:spacing w:val="15"/>
        </w:rPr>
        <w:t> </w:t>
      </w:r>
      <w:r>
        <w:rPr>
          <w:color w:val="6E6158"/>
        </w:rPr>
        <w:t>years,</w:t>
      </w:r>
      <w:r>
        <w:rPr>
          <w:color w:val="6E6158"/>
          <w:spacing w:val="15"/>
        </w:rPr>
        <w:t> </w:t>
      </w:r>
      <w:r>
        <w:rPr>
          <w:color w:val="6E6158"/>
        </w:rPr>
        <w:t>Bill</w:t>
      </w:r>
      <w:r>
        <w:rPr>
          <w:color w:val="6E6158"/>
          <w:spacing w:val="15"/>
        </w:rPr>
        <w:t> </w:t>
      </w:r>
      <w:r>
        <w:rPr>
          <w:color w:val="6E6158"/>
        </w:rPr>
        <w:t>Klain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broad</w:t>
      </w:r>
      <w:r>
        <w:rPr>
          <w:color w:val="6E6158"/>
          <w:spacing w:val="15"/>
        </w:rPr>
        <w:t> </w:t>
      </w:r>
      <w:r>
        <w:rPr>
          <w:color w:val="6E6158"/>
        </w:rPr>
        <w:t>range of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disputes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formation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governance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corporations,</w:t>
      </w:r>
      <w:r>
        <w:rPr>
          <w:color w:val="6E6158"/>
          <w:spacing w:val="33"/>
        </w:rPr>
        <w:t> </w:t>
      </w:r>
      <w:r>
        <w:rPr>
          <w:color w:val="6E6158"/>
        </w:rPr>
        <w:t>partnerships</w:t>
      </w:r>
      <w:r>
        <w:rPr>
          <w:color w:val="6E6158"/>
          <w:spacing w:val="33"/>
        </w:rPr>
        <w:t> </w:t>
      </w:r>
      <w:r>
        <w:rPr>
          <w:color w:val="6E6158"/>
        </w:rPr>
        <w:t>and limited liability companies. A distinguished figure in the fields of Arizona commercial litigation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 law, Bill helps his clients successfully navigate and resolve their disputes involving</w:t>
      </w:r>
      <w:r>
        <w:rPr>
          <w:color w:val="6E6158"/>
          <w:spacing w:val="80"/>
        </w:rPr>
        <w:t> </w:t>
      </w:r>
      <w:r>
        <w:rPr>
          <w:color w:val="6E6158"/>
        </w:rPr>
        <w:t>business divorces and dissolutions, fiduciary breaches, business torts, sales contracts,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non-compete,</w:t>
      </w:r>
      <w:r>
        <w:rPr>
          <w:color w:val="6E6158"/>
          <w:spacing w:val="40"/>
        </w:rPr>
        <w:t> </w:t>
      </w:r>
      <w:r>
        <w:rPr>
          <w:color w:val="6E6158"/>
        </w:rPr>
        <w:t>non-solicitation,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non-disclosure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and a variety of other complex civil legal matters. He is also an experienced private mediator and</w:t>
      </w:r>
      <w:r>
        <w:rPr>
          <w:color w:val="6E6158"/>
          <w:spacing w:val="40"/>
        </w:rPr>
        <w:t> </w:t>
      </w:r>
      <w:r>
        <w:rPr>
          <w:color w:val="6E6158"/>
        </w:rPr>
        <w:t>arbitrator, helping parties reach private resolutions of their civil matters,</w:t>
      </w:r>
    </w:p>
    <w:p>
      <w:pPr>
        <w:pStyle w:val="BodyText"/>
        <w:spacing w:line="292" w:lineRule="auto" w:before="206"/>
        <w:ind w:left="99" w:right="879"/>
        <w:jc w:val="both"/>
      </w:pPr>
      <w:r>
        <w:rPr>
          <w:color w:val="6E6158"/>
        </w:rPr>
        <w:t>Bill’s practice is defined by his dedication and commitment to his clients, impressive </w:t>
      </w:r>
      <w:r>
        <w:rPr>
          <w:color w:val="6E6158"/>
        </w:rPr>
        <w:t>legal knowledge, and extensive courtroom and trial experience. His track record of success in commercial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reputation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formidable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those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navigating the intricate landscape of business disputes. Bill’s deep understanding of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structures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governance</w:t>
      </w:r>
      <w:r>
        <w:rPr>
          <w:color w:val="6E6158"/>
          <w:spacing w:val="32"/>
        </w:rPr>
        <w:t> </w:t>
      </w:r>
      <w:r>
        <w:rPr>
          <w:color w:val="6E6158"/>
        </w:rPr>
        <w:t>enables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establish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maintain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enterprises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confidence.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left="99" w:right="366"/>
      </w:pPr>
      <w:r>
        <w:rPr>
          <w:color w:val="6E6158"/>
        </w:rPr>
        <w:t>Bill’s commitment to the legal profession is further exemplified by his active involvement in</w:t>
      </w:r>
      <w:r>
        <w:rPr>
          <w:color w:val="6E6158"/>
          <w:spacing w:val="40"/>
        </w:rPr>
        <w:t> </w:t>
      </w:r>
      <w:r>
        <w:rPr>
          <w:color w:val="6E6158"/>
        </w:rPr>
        <w:t>Arizona’s legal community. He serves as a member of the Arizona Judicial Council’s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Superior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Arizona’s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Procedure</w:t>
      </w:r>
      <w:r>
        <w:rPr>
          <w:color w:val="6E6158"/>
          <w:spacing w:val="29"/>
        </w:rPr>
        <w:t> </w:t>
      </w:r>
      <w:r>
        <w:rPr>
          <w:color w:val="6E6158"/>
        </w:rPr>
        <w:t>Committee.</w:t>
      </w:r>
    </w:p>
    <w:p>
      <w:pPr>
        <w:pStyle w:val="BodyText"/>
        <w:spacing w:line="292" w:lineRule="auto"/>
        <w:ind w:left="99" w:right="366"/>
      </w:pPr>
      <w:r>
        <w:rPr>
          <w:color w:val="6E6158"/>
        </w:rPr>
        <w:t>Previously, he chaired the Arizona Supreme Court’s Task Force on the Rules of Civil Procedure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Advisory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Rules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Evidence,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Justice</w:t>
      </w:r>
      <w:r>
        <w:rPr>
          <w:color w:val="6E6158"/>
          <w:spacing w:val="29"/>
        </w:rPr>
        <w:t> </w:t>
      </w:r>
      <w:r>
        <w:rPr>
          <w:color w:val="6E6158"/>
        </w:rPr>
        <w:t>Reform</w:t>
      </w:r>
    </w:p>
    <w:p>
      <w:pPr>
        <w:pStyle w:val="BodyText"/>
        <w:spacing w:line="292" w:lineRule="auto" w:before="5"/>
        <w:ind w:left="99" w:right="366"/>
      </w:pPr>
      <w:r>
        <w:rPr>
          <w:color w:val="6E6158"/>
        </w:rPr>
        <w:t>Committee, and Business Court Advisory Committee, which developed Arizona’s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Court. His involvement in these initiatives has provided Bill with a deep understanding of civil</w:t>
      </w:r>
      <w:r>
        <w:rPr>
          <w:color w:val="6E6158"/>
          <w:spacing w:val="40"/>
        </w:rPr>
        <w:t> </w:t>
      </w:r>
      <w:r>
        <w:rPr>
          <w:color w:val="6E6158"/>
        </w:rPr>
        <w:t>procedure and processes which he brings to bear for his clients in their matters.</w:t>
      </w:r>
    </w:p>
    <w:p>
      <w:pPr>
        <w:pStyle w:val="BodyText"/>
        <w:spacing w:line="295" w:lineRule="auto" w:before="198"/>
        <w:ind w:left="99" w:right="281"/>
      </w:pPr>
      <w:r>
        <w:rPr>
          <w:color w:val="6E6158"/>
        </w:rPr>
        <w:t>With Bill Klain as your attorney, you gain a trusted legal partner who combines a wealth of</w:t>
      </w:r>
      <w:r>
        <w:rPr>
          <w:color w:val="6E6158"/>
          <w:spacing w:val="40"/>
        </w:rPr>
        <w:t> </w:t>
      </w:r>
      <w:r>
        <w:rPr>
          <w:color w:val="6E6158"/>
        </w:rPr>
        <w:t>experience with a tireless devotion to his clients. Whether you are facing complex litigation or</w:t>
      </w:r>
      <w:r>
        <w:rPr>
          <w:color w:val="6E6158"/>
          <w:spacing w:val="40"/>
        </w:rPr>
        <w:t> </w:t>
      </w:r>
      <w:r>
        <w:rPr>
          <w:color w:val="6E6158"/>
        </w:rPr>
        <w:t>require legal guidance in your business endeavors, Bill is an advocate and counselor you </w:t>
      </w:r>
      <w:r>
        <w:rPr>
          <w:color w:val="6E6158"/>
        </w:rPr>
        <w:t>can</w:t>
      </w:r>
      <w:r>
        <w:rPr>
          <w:color w:val="6E6158"/>
          <w:spacing w:val="40"/>
        </w:rPr>
        <w:t> </w:t>
      </w:r>
      <w:r>
        <w:rPr>
          <w:color w:val="6E6158"/>
        </w:rPr>
        <w:t>depend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protect</w:t>
      </w:r>
      <w:r>
        <w:rPr>
          <w:color w:val="6E6158"/>
          <w:spacing w:val="25"/>
        </w:rPr>
        <w:t> </w:t>
      </w:r>
      <w:r>
        <w:rPr>
          <w:color w:val="6E6158"/>
        </w:rPr>
        <w:t>your</w:t>
      </w:r>
      <w:r>
        <w:rPr>
          <w:color w:val="6E6158"/>
          <w:spacing w:val="25"/>
        </w:rPr>
        <w:t> </w:t>
      </w:r>
      <w:r>
        <w:rPr>
          <w:color w:val="6E6158"/>
        </w:rPr>
        <w:t>interests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guide</w:t>
      </w:r>
      <w:r>
        <w:rPr>
          <w:color w:val="6E6158"/>
          <w:spacing w:val="25"/>
        </w:rPr>
        <w:t> </w:t>
      </w:r>
      <w:r>
        <w:rPr>
          <w:color w:val="6E6158"/>
        </w:rPr>
        <w:t>you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step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process.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157854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471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174948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509pt;width:1.65pt;height:1.65pt;mso-position-horizontal-relative:page;mso-position-vertical-relative:paragraph;z-index:15729664" id="docshape1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Richmond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5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59400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7233pt;width:1.65pt;height:1.65pt;mso-position-horizontal-relative:page;mso-position-vertical-relative:paragraph;z-index:15730176" id="docshape13" coordorigin="1670,94" coordsize="33,33" path="m1691,126l1682,126,1678,125,1671,118,1670,114,1670,105,1671,101,1678,95,1682,94,1691,94,1694,95,1701,101,1702,105,1702,110,1702,114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322933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841pt;width:1.65pt;height:1.65pt;mso-position-horizontal-relative:page;mso-position-vertical-relative:paragraph;z-index:15730688" id="docshape14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divorces and </w:t>
      </w:r>
      <w:r>
        <w:rPr>
          <w:color w:val="6E6158"/>
        </w:rPr>
        <w:t>dissolutions Fiduciary breaches</w:t>
      </w:r>
    </w:p>
    <w:p>
      <w:pPr>
        <w:pStyle w:val="BodyText"/>
        <w:spacing w:line="420" w:lineRule="auto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63558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4623pt;width:1.65pt;height:1.65pt;mso-position-horizontal-relative:page;mso-position-vertical-relative:paragraph;z-index:15731200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321924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8372pt;width:1.65pt;height:1.65pt;mso-position-horizontal-relative:page;mso-position-vertical-relative:paragraph;z-index:15731712" id="docshape16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torts Sales </w:t>
      </w:r>
      <w:r>
        <w:rPr>
          <w:color w:val="6E6158"/>
        </w:rPr>
        <w:t>contracts</w:t>
      </w:r>
    </w:p>
    <w:p>
      <w:pPr>
        <w:pStyle w:val="BodyText"/>
        <w:spacing w:line="420" w:lineRule="auto" w:before="5"/>
        <w:ind w:right="68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62549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5154pt;width:1.65pt;height:1.65pt;mso-position-horizontal-relative:page;mso-position-vertical-relative:paragraph;z-index:15732224" id="docshape17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326082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75779pt;width:1.65pt;height:1.65pt;mso-position-horizontal-relative:page;mso-position-vertical-relative:paragraph;z-index:15732736" id="docshape18" coordorigin="1670,514" coordsize="33,33" path="m1691,546l1682,546,1678,544,1671,538,1670,534,1670,525,1671,521,1678,515,1682,514,1691,514,1694,515,1701,521,1702,525,1702,530,1702,534,1701,538,1694,544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Buy-Sell </w:t>
      </w:r>
      <w:r>
        <w:rPr>
          <w:color w:val="6E6158"/>
        </w:rPr>
        <w:t>agreements Civil appeals</w:t>
      </w:r>
    </w:p>
    <w:p>
      <w:pPr>
        <w:pStyle w:val="BodyText"/>
        <w:spacing w:line="427" w:lineRule="auto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63532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559pt;width:1.65pt;height:1.65pt;mso-position-horizontal-relative:page;mso-position-vertical-relative:paragraph;z-index:15733248" id="docshape1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321898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631pt;width:1.65pt;height:1.65pt;mso-position-horizontal-relative:page;mso-position-vertical-relative:paragraph;z-index:15733760" id="docshape20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Non-compete, non-solicitation, and non-disclosure </w:t>
      </w:r>
      <w:r>
        <w:rPr>
          <w:color w:val="6E6158"/>
        </w:rPr>
        <w:t>agreements Various other commercial disputes</w:t>
      </w:r>
    </w:p>
    <w:p>
      <w:pPr>
        <w:pStyle w:val="BodyText"/>
        <w:spacing w:line="420" w:lineRule="auto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53647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24213pt;width:1.65pt;height:1.65pt;mso-position-horizontal-relative:page;mso-position-vertical-relative:paragraph;z-index:15734272" id="docshape21" coordorigin="1670,84" coordsize="33,33" path="m1691,117l1682,117,1678,115,1671,109,1670,105,1670,96,1671,92,1678,86,1682,84,1691,84,1694,86,1701,92,1702,96,1702,101,1702,105,1701,109,1694,115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317180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4838pt;width:1.65pt;height:1.65pt;mso-position-horizontal-relative:page;mso-position-vertical-relative:paragraph;z-index:15734784" id="docshape22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575546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18584pt;width:1.65pt;height:1.65pt;mso-position-horizontal-relative:page;mso-position-vertical-relative:paragraph;z-index:15735296" id="docshape23" coordorigin="1670,906" coordsize="33,33" path="m1691,939l1682,939,1678,937,1671,931,1670,927,1670,918,1671,914,1678,908,1682,906,1691,906,1694,908,1701,914,1702,918,1702,923,1702,927,1701,931,1694,937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Receiverships Injunctions </w:t>
      </w:r>
      <w:r>
        <w:rPr>
          <w:color w:val="6E6158"/>
        </w:rPr>
        <w:t>Trade Secrets</w:t>
      </w:r>
    </w:p>
    <w:p>
      <w:pPr>
        <w:pStyle w:val="BodyText"/>
        <w:spacing w:line="420" w:lineRule="auto"/>
        <w:ind w:right="5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57300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11884pt;width:1.65pt;height:1.65pt;mso-position-horizontal-relative:page;mso-position-vertical-relative:paragraph;z-index:15735808" id="docshape24" coordorigin="1670,90" coordsize="33,33" path="m1691,123l1682,123,1678,121,1671,115,1670,111,1670,102,1671,98,1678,92,1682,90,1691,90,1694,92,1701,98,1702,102,1702,107,1702,111,1701,115,1694,121,1691,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315666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855633pt;width:1.65pt;height:1.65pt;mso-position-horizontal-relative:page;mso-position-vertical-relative:paragraph;z-index:15736320" id="docshape25" coordorigin="1670,497" coordsize="33,33" path="m1691,530l1682,530,1678,528,1671,522,1670,518,1670,509,1671,505,1678,499,1682,497,1691,497,1694,499,1701,505,1702,509,1702,513,1702,518,1701,522,1694,528,1691,5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Failed commercial </w:t>
      </w:r>
      <w:r>
        <w:rPr>
          <w:color w:val="6E6158"/>
        </w:rPr>
        <w:t>transactions Business Litigation</w:t>
      </w:r>
    </w:p>
    <w:p>
      <w:pPr>
        <w:pStyle w:val="Heading2"/>
        <w:spacing w:before="15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1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157927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205pt;width:1.65pt;height:1.65pt;mso-position-horizontal-relative:page;mso-position-vertical-relative:paragraph;z-index:15736832" id="docshape2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416292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946pt;width:1.65pt;height:1.65pt;mso-position-horizontal-relative:page;mso-position-vertical-relative:paragraph;z-index:15737344" id="docshape2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Lawyer of the Year, Bet-the-Company Litigation, </w:t>
      </w:r>
      <w:r>
        <w:rPr>
          <w:color w:val="6E6158"/>
        </w:rPr>
        <w:t>2025 Super Lawyers: “Top 50 Arizona,” 2018, 2022-2025; Business Litigation, 2012-2026</w:t>
      </w:r>
    </w:p>
    <w:p>
      <w:pPr>
        <w:pStyle w:val="BodyText"/>
        <w:spacing w:line="420" w:lineRule="auto" w:before="6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63572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744pt;width:1.65pt;height:1.65pt;mso-position-horizontal-relative:page;mso-position-vertical-relative:paragraph;z-index:15737856" id="docshape2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327105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6359pt;width:1.65pt;height:1.65pt;mso-position-horizontal-relative:page;mso-position-vertical-relative:paragraph;z-index:15738368" id="docshape29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Commercial Litigation, Bet-the-Company Litigation, 2015-</w:t>
      </w:r>
      <w:r>
        <w:rPr>
          <w:color w:val="6E6158"/>
        </w:rPr>
        <w:t>2025</w:t>
      </w:r>
      <w:r>
        <w:rPr>
          <w:color w:val="6E6158"/>
          <w:spacing w:val="40"/>
        </w:rPr>
        <w:t> </w:t>
      </w:r>
      <w:r>
        <w:rPr>
          <w:color w:val="6E6158"/>
        </w:rPr>
        <w:t>AV-Preeminent® Rating, Martindale-Hubbell®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63920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134pt;width:1.65pt;height:1.65pt;mso-position-horizontal-relative:page;mso-position-vertical-relative:paragraph;z-index:15738880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100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</w:rPr>
        <w:t>2019,</w:t>
      </w:r>
      <w:r>
        <w:rPr>
          <w:color w:val="6E6158"/>
          <w:spacing w:val="10"/>
        </w:rPr>
        <w:t> </w:t>
      </w:r>
      <w:r>
        <w:rPr>
          <w:color w:val="6E6158"/>
        </w:rPr>
        <w:t>2023,</w:t>
      </w:r>
      <w:r>
        <w:rPr>
          <w:color w:val="6E6158"/>
          <w:spacing w:val="10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175370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664pt;width:1.65pt;height:1.65pt;mso-position-horizontal-relative:page;mso-position-vertical-relative:paragraph;z-index:15739392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“Top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8"/>
        </w:rPr>
        <w:t> </w:t>
      </w:r>
      <w:r>
        <w:rPr>
          <w:color w:val="6E6158"/>
        </w:rPr>
        <w:t>Phoenix</w:t>
      </w:r>
      <w:r>
        <w:rPr>
          <w:color w:val="6E6158"/>
          <w:spacing w:val="9"/>
        </w:rPr>
        <w:t> </w:t>
      </w:r>
      <w:r>
        <w:rPr>
          <w:color w:val="6E6158"/>
        </w:rPr>
        <w:t>Magazine,</w:t>
      </w:r>
      <w:r>
        <w:rPr>
          <w:color w:val="6E6158"/>
          <w:spacing w:val="8"/>
        </w:rPr>
        <w:t> </w:t>
      </w:r>
      <w:r>
        <w:rPr>
          <w:color w:val="6E6158"/>
        </w:rPr>
        <w:t>2022,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0" w:lineRule="auto" w:before="174"/>
        <w:ind w:right="16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170239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4702pt;width:1.65pt;height:1.65pt;mso-position-horizontal-relative:page;mso-position-vertical-relative:paragraph;z-index:15739904" id="docshape32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433772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5315pt;width:1.65pt;height:1.65pt;mso-position-horizontal-relative:page;mso-position-vertical-relative:paragraph;z-index:15740416" id="docshape3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Chief Justice’s Outstanding Contribution to the Arizona Courts Award, </w:t>
      </w:r>
      <w:r>
        <w:rPr>
          <w:color w:val="6E6158"/>
        </w:rPr>
        <w:t>2016 State Bar of Arizona “Volunteer of the Month,” April 2016</w:t>
      </w:r>
    </w:p>
    <w:p>
      <w:pPr>
        <w:pStyle w:val="BodyText"/>
        <w:spacing w:line="427" w:lineRule="auto"/>
        <w:ind w:right="3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63907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093pt;width:1.65pt;height:1.65pt;mso-position-horizontal-relative:page;mso-position-vertical-relative:paragraph;z-index:15740928" id="docshape3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322273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586pt;width:1.65pt;height:1.65pt;mso-position-horizontal-relative:page;mso-position-vertical-relative:paragraph;z-index:15741440" id="docshape35" coordorigin="1670,508" coordsize="33,33" path="m1691,540l1682,540,1678,538,1671,532,1670,528,1670,519,1671,515,1678,509,1682,508,1691,508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Arizona’s Finest Lawyers (Sustaining Member), 2014-</w:t>
      </w:r>
      <w:r>
        <w:rPr>
          <w:color w:val="6E6158"/>
        </w:rPr>
        <w:t>present State Bar of Arizona “Member of the Year,” 2013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54022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53773pt;width:1.65pt;height:1.65pt;mso-position-horizontal-relative:page;mso-position-vertical-relative:paragraph;z-index:15741952" id="docshape36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Excellence,</w:t>
      </w:r>
      <w:r>
        <w:rPr>
          <w:color w:val="6E6158"/>
          <w:spacing w:val="12"/>
        </w:rPr>
        <w:t> </w:t>
      </w:r>
      <w:r>
        <w:rPr>
          <w:color w:val="6E6158"/>
        </w:rPr>
        <w:t>Scottsdale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174346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28089pt;width:1.65pt;height:1.65pt;mso-position-horizontal-relative:page;mso-position-vertical-relative:paragraph;z-index:15742464" id="docshape37" coordorigin="1670,275" coordsize="33,33" path="m1691,307l1682,307,1678,306,1671,299,1670,295,1670,286,1671,283,1678,276,1682,275,1691,275,1694,276,1701,283,1702,286,1702,291,1702,295,1701,299,1694,306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Arizona:</w:t>
      </w:r>
      <w:r>
        <w:rPr>
          <w:color w:val="6E6158"/>
          <w:spacing w:val="12"/>
        </w:rPr>
        <w:t> </w:t>
      </w:r>
      <w:r>
        <w:rPr>
          <w:color w:val="6E6158"/>
        </w:rPr>
        <w:t>President’s</w:t>
      </w:r>
      <w:r>
        <w:rPr>
          <w:color w:val="6E6158"/>
          <w:spacing w:val="11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(Contributions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Procedure),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157570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161pt;width:1.65pt;height:1.65pt;mso-position-horizontal-relative:page;mso-position-vertical-relative:paragraph;z-index:15742976" id="docshape38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8"/>
        </w:rPr>
        <w:t> </w:t>
      </w:r>
      <w:r>
        <w:rPr>
          <w:color w:val="6E6158"/>
        </w:rPr>
        <w:t>“AI:</w:t>
      </w:r>
      <w:r>
        <w:rPr>
          <w:color w:val="6E6158"/>
          <w:spacing w:val="71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Good,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Bad,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Ugly,”</w:t>
      </w:r>
      <w:r>
        <w:rPr>
          <w:color w:val="6E6158"/>
          <w:spacing w:val="71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9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82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268312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6944pt;width:1.65pt;height:1.65pt;mso-position-horizontal-relative:page;mso-position-vertical-relative:paragraph;z-index:15743488" id="docshape39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Disgorgement Without Harm? Ninth Circuit Sets New Stakes for Public Companies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Investors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Across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United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States</w:t>
        </w:r>
      </w:hyperlink>
      <w:r>
        <w:rPr>
          <w:color w:val="6E6158"/>
        </w:rPr>
        <w:t>,”</w:t>
      </w:r>
      <w:r>
        <w:rPr>
          <w:color w:val="6E6158"/>
          <w:spacing w:val="33"/>
        </w:rPr>
        <w:t> </w:t>
      </w:r>
      <w:r>
        <w:rPr>
          <w:color w:val="6E6158"/>
        </w:rPr>
        <w:t>Fennemore</w:t>
      </w:r>
      <w:r>
        <w:rPr>
          <w:color w:val="6E6158"/>
          <w:spacing w:val="33"/>
        </w:rPr>
        <w:t> </w:t>
      </w:r>
      <w:r>
        <w:rPr>
          <w:color w:val="6E6158"/>
        </w:rPr>
        <w:t>Blog,</w:t>
      </w:r>
      <w:r>
        <w:rPr>
          <w:color w:val="6E6158"/>
          <w:spacing w:val="33"/>
        </w:rPr>
        <w:t> </w:t>
      </w:r>
      <w:r>
        <w:rPr>
          <w:color w:val="6E6158"/>
        </w:rPr>
        <w:t>November</w:t>
      </w:r>
      <w:r>
        <w:rPr>
          <w:color w:val="6E6158"/>
          <w:spacing w:val="33"/>
        </w:rPr>
        <w:t> </w:t>
      </w:r>
      <w:r>
        <w:rPr>
          <w:color w:val="6E6158"/>
        </w:rPr>
        <w:t>24,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54pt;width:1.65pt;height:1.65pt;mso-position-horizontal-relative:page;mso-position-vertical-relative:paragraph;z-index:15744000" id="docshape4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Faculty,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Advocacy,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174880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091pt;width:1.65pt;height:1.65pt;mso-position-horizontal-relative:page;mso-position-vertical-relative:paragraph;z-index:15744512" id="docshape4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“Current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Convention,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6048" id="docshape4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Arizona’s Commercial Court is tailor-made for business litigants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April 4, 2025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6560" id="docshape4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169799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0067pt;width:1.65pt;height:1.65pt;mso-position-horizontal-relative:page;mso-position-vertical-relative:paragraph;z-index:15747072" id="docshape44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2025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</w:t>
      </w:r>
      <w:r>
        <w:rPr>
          <w:color w:val="6E6158"/>
          <w:spacing w:val="12"/>
        </w:rPr>
        <w:t> </w:t>
      </w:r>
      <w:r>
        <w:rPr>
          <w:color w:val="6E6158"/>
        </w:rPr>
        <w:t>Update,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400" w:lineRule="atLeast" w:before="7"/>
        <w:ind w:right="2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1060346</wp:posOffset>
                </wp:positionH>
                <wp:positionV relativeFrom="paragraph">
                  <wp:posOffset>526295</wp:posOffset>
                </wp:positionV>
                <wp:extent cx="20955" cy="2095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440563pt;width:1.65pt;height:1.65pt;mso-position-horizontal-relative:page;mso-position-vertical-relative:paragraph;z-index:-15712256;mso-wrap-distance-left:0;mso-wrap-distance-right:0" id="docshape45" coordorigin="1670,829" coordsize="33,33" path="m1691,861l1682,861,1678,860,1671,853,1670,850,1670,841,1671,837,1678,830,1682,829,1691,829,1694,830,1701,837,1702,841,1702,845,1702,850,1701,853,1694,860,1691,861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174916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964pt;width:1.65pt;height:1.65pt;mso-position-horizontal-relative:page;mso-position-vertical-relative:paragraph;z-index:15747584" id="docshape4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2024 Civil Practice and Procedure Symposium, State Bar of Arizona, November </w:t>
      </w:r>
      <w:r>
        <w:rPr>
          <w:color w:val="6E6158"/>
        </w:rPr>
        <w:t>2024</w:t>
      </w:r>
      <w:r>
        <w:rPr>
          <w:color w:val="6E6158"/>
          <w:spacing w:val="40"/>
        </w:rPr>
        <w:t> </w:t>
      </w:r>
      <w:r>
        <w:rPr>
          <w:color w:val="6E6158"/>
        </w:rPr>
        <w:t>Co-Author,</w:t>
      </w:r>
      <w:r>
        <w:rPr>
          <w:color w:val="6E6158"/>
          <w:spacing w:val="36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Seven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Significant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Differences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Between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Federal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Civil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Procedure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in</w:t>
        </w:r>
      </w:hyperlink>
    </w:p>
    <w:p>
      <w:pPr>
        <w:pStyle w:val="BodyText"/>
        <w:spacing w:before="12"/>
      </w:pPr>
      <w:hyperlink r:id="rId14">
        <w:r>
          <w:rPr>
            <w:color w:val="F5821F"/>
          </w:rPr>
          <w:t>2024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263004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024pt;width:1.65pt;height:1.65pt;mso-position-horizontal-relative:page;mso-position-vertical-relative:paragraph;z-index:15748096" id="docshape47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“Meet the New Rules, (Not the) Same as the Old Rules ,” Arizona Attorney (State Bar of</w:t>
      </w:r>
      <w:r>
        <w:rPr>
          <w:color w:val="6E6158"/>
          <w:spacing w:val="40"/>
        </w:rPr>
        <w:t> </w:t>
      </w:r>
      <w:r>
        <w:rPr>
          <w:color w:val="6E6158"/>
        </w:rPr>
        <w:t>Arizona), December 2016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142954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238pt;width:1.65pt;height:1.65pt;mso-position-horizontal-relative:page;mso-position-vertical-relative:paragraph;z-index:15748608" id="docshape4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“Employee</w:t>
      </w:r>
      <w:r>
        <w:rPr>
          <w:color w:val="6E6158"/>
          <w:spacing w:val="18"/>
        </w:rPr>
        <w:t> </w:t>
      </w:r>
      <w:r>
        <w:rPr>
          <w:color w:val="6E6158"/>
        </w:rPr>
        <w:t>Misuse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Confidential</w:t>
      </w:r>
      <w:r>
        <w:rPr>
          <w:color w:val="6E6158"/>
          <w:spacing w:val="19"/>
        </w:rPr>
        <w:t> </w:t>
      </w:r>
      <w:r>
        <w:rPr>
          <w:color w:val="6E6158"/>
        </w:rPr>
        <w:t>Information,”</w:t>
      </w:r>
      <w:r>
        <w:rPr>
          <w:color w:val="6E6158"/>
          <w:spacing w:val="19"/>
        </w:rPr>
        <w:t> </w:t>
      </w: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82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268299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944pt;width:1.65pt;height:1.65pt;mso-position-horizontal-relative:page;mso-position-vertical-relative:paragraph;z-index:15749120" id="docshape49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Long and Winding Road: How We Reached the 2014 Amendments,” Arizona Attorney</w:t>
      </w:r>
      <w:r>
        <w:rPr>
          <w:color w:val="6E6158"/>
          <w:spacing w:val="40"/>
        </w:rPr>
        <w:t> </w:t>
      </w:r>
      <w:r>
        <w:rPr>
          <w:color w:val="6E6158"/>
        </w:rPr>
        <w:t>(State Bar of Arizona), February 2014</w:t>
      </w:r>
    </w:p>
    <w:p>
      <w:pPr>
        <w:pStyle w:val="BodyText"/>
        <w:spacing w:line="292" w:lineRule="auto" w:before="124"/>
        <w:ind w:right="1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231012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96pt;width:1.65pt;height:1.65pt;mso-position-horizontal-relative:page;mso-position-vertical-relative:paragraph;z-index:15749632" id="docshape50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“Fixing Holes Where the Rain Gets In: Seven Recent Arizona Civil Rule </w:t>
      </w:r>
      <w:r>
        <w:rPr>
          <w:color w:val="6E6158"/>
        </w:rPr>
        <w:t>Amendments Dissected,” Record Reporter, February 2014</w:t>
      </w:r>
    </w:p>
    <w:p>
      <w:pPr>
        <w:pStyle w:val="BodyText"/>
        <w:spacing w:line="420" w:lineRule="auto" w:before="131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142709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6973pt;width:1.65pt;height:1.65pt;mso-position-horizontal-relative:page;mso-position-vertical-relative:paragraph;z-index:15750144" id="docshape5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406244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87772pt;width:1.65pt;height:1.65pt;mso-position-horizontal-relative:page;mso-position-vertical-relative:paragraph;z-index:15750656" id="docshape52" coordorigin="1670,640" coordsize="33,33" path="m1691,672l1682,672,1678,671,1671,664,1670,661,1670,652,1671,648,1678,641,1682,640,1691,640,1694,641,1701,648,1702,652,1702,656,1702,661,1701,664,1694,671,1691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“Restrictive Covenants in Employment Agreements,” January </w:t>
      </w:r>
      <w:r>
        <w:rPr>
          <w:color w:val="6E6158"/>
        </w:rPr>
        <w:t>2014 “Customer List: Not Necessarily a Trade Secret,” November 2013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63684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4553pt;width:1.65pt;height:1.65pt;mso-position-horizontal-relative:page;mso-position-vertical-relative:paragraph;z-index:15751168" id="docshape5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“Significant</w:t>
      </w:r>
      <w:r>
        <w:rPr>
          <w:color w:val="6E6158"/>
          <w:spacing w:val="15"/>
        </w:rPr>
        <w:t> </w:t>
      </w:r>
      <w:r>
        <w:rPr>
          <w:color w:val="6E6158"/>
        </w:rPr>
        <w:t>Differences</w:t>
      </w:r>
      <w:r>
        <w:rPr>
          <w:color w:val="6E6158"/>
          <w:spacing w:val="15"/>
        </w:rPr>
        <w:t> </w:t>
      </w:r>
      <w:r>
        <w:rPr>
          <w:color w:val="6E6158"/>
        </w:rPr>
        <w:t>Between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Procedure,”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before="182" w:after="7"/>
      </w:pPr>
      <w:r>
        <w:rPr>
          <w:color w:val="6E6158"/>
        </w:rPr>
        <w:t>“In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Lawsuit</w:t>
      </w:r>
      <w:r>
        <w:rPr>
          <w:color w:val="6E6158"/>
          <w:spacing w:val="10"/>
        </w:rPr>
        <w:t> </w:t>
      </w:r>
      <w:r>
        <w:rPr>
          <w:color w:val="6E6158"/>
        </w:rPr>
        <w:t>Arising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Online</w:t>
      </w:r>
      <w:r>
        <w:rPr>
          <w:color w:val="6E6158"/>
          <w:spacing w:val="11"/>
        </w:rPr>
        <w:t> </w:t>
      </w:r>
      <w:r>
        <w:rPr>
          <w:color w:val="6E6158"/>
        </w:rPr>
        <w:t>Transaction,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Unhappy</w:t>
      </w:r>
      <w:r>
        <w:rPr>
          <w:color w:val="6E6158"/>
          <w:spacing w:val="11"/>
        </w:rPr>
        <w:t> </w:t>
      </w:r>
      <w:r>
        <w:rPr>
          <w:color w:val="6E6158"/>
        </w:rPr>
        <w:t>Buyer</w:t>
      </w:r>
      <w:r>
        <w:rPr>
          <w:color w:val="6E6158"/>
          <w:spacing w:val="10"/>
        </w:rPr>
        <w:t> </w:t>
      </w:r>
      <w:r>
        <w:rPr>
          <w:color w:val="6E6158"/>
        </w:rPr>
        <w:t>File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Suit?”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4" coordorigin="0,0" coordsize="33,33">
                <v:shape style="position:absolute;left:0;top:0;width:33;height:33" id="docshape5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292" w:lineRule="auto" w:before="173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262721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697pt;width:1.65pt;height:1.65pt;mso-position-horizontal-relative:page;mso-position-vertical-relative:paragraph;z-index:15751680" id="docshape56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“Much Ado About Cullen: Twombly Not Arizona Law … for Now, ” Arizona Attorney (State Bar</w:t>
      </w:r>
      <w:r>
        <w:rPr>
          <w:color w:val="6E6158"/>
          <w:spacing w:val="80"/>
        </w:rPr>
        <w:t> </w:t>
      </w:r>
      <w:r>
        <w:rPr>
          <w:color w:val="6E6158"/>
        </w:rPr>
        <w:t>of Arizona), December 2009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143303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713pt;width:1.65pt;height:1.65pt;mso-position-horizontal-relative:page;mso-position-vertical-relative:paragraph;z-index:15752192" id="docshape57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“Asset</w:t>
      </w:r>
      <w:r>
        <w:rPr>
          <w:color w:val="6E6158"/>
          <w:spacing w:val="12"/>
        </w:rPr>
        <w:t> </w:t>
      </w:r>
      <w:r>
        <w:rPr>
          <w:color w:val="6E6158"/>
        </w:rPr>
        <w:t>Transfers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Doctrine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Successor</w:t>
      </w:r>
      <w:r>
        <w:rPr>
          <w:color w:val="6E6158"/>
          <w:spacing w:val="12"/>
        </w:rPr>
        <w:t> </w:t>
      </w:r>
      <w:r>
        <w:rPr>
          <w:color w:val="6E6158"/>
        </w:rPr>
        <w:t>Liability,”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74"/>
        <w:ind w:right="4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355946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7287pt;width:1.65pt;height:1.65pt;mso-position-horizontal-relative:page;mso-position-vertical-relative:paragraph;z-index:15752704" id="docshape58" coordorigin="1670,561" coordsize="33,33" path="m1691,593l1682,593,1678,592,1671,585,1670,581,1670,572,1671,568,1678,562,1682,561,1691,561,1694,562,1701,568,1702,572,1702,577,1702,581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“Goodbye Peremptory Challenges: Underlying Rational, Experience to Date, and Strategic Considerations” (seminar co-chair and panelist), State Bar of Arizona “CLE by the Sea,” </w:t>
      </w:r>
      <w:r>
        <w:rPr>
          <w:color w:val="6E6158"/>
        </w:rPr>
        <w:t>July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32"/>
        <w:ind w:right="5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329292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28581pt;width:1.65pt;height:1.65pt;mso-position-horizontal-relative:page;mso-position-vertical-relative:paragraph;z-index:15753216" id="docshape59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“Sun Tzu and von Clausewitz in the Courtroom: Shaping the Battlefield through </w:t>
      </w:r>
      <w:r>
        <w:rPr>
          <w:color w:val="6E6158"/>
        </w:rPr>
        <w:t>Dispositive Motions and Realizing that No Battle Plan Survives First Contact with the Enemy” (seminar cochair and panelist), State Bar of Arizona “CLE by the Sea,” July 2023</w:t>
      </w:r>
    </w:p>
    <w:p>
      <w:pPr>
        <w:pStyle w:val="BodyText"/>
        <w:spacing w:line="302" w:lineRule="auto" w:before="124"/>
        <w:ind w:right="1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324140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2858pt;width:1.65pt;height:1.65pt;mso-position-horizontal-relative:page;mso-position-vertical-relative:paragraph;z-index:15753728" id="docshape6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“’Toto, I’ve a Feeling We’re Not in Superior Court Anymore’: Contrasting State and Federal Trial Practice and How to Avoid Losing your Appeal Before it Starts” (seminar co-chair and</w:t>
      </w:r>
    </w:p>
    <w:p>
      <w:pPr>
        <w:pStyle w:val="BodyText"/>
        <w:spacing w:line="224" w:lineRule="exact"/>
        <w:jc w:val="both"/>
      </w:pPr>
      <w:r>
        <w:rPr>
          <w:color w:val="6E6158"/>
        </w:rPr>
        <w:t>panelist),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“CLE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Sea,”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174984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333pt;width:1.65pt;height:1.65pt;mso-position-horizontal-relative:page;mso-position-vertical-relative:paragraph;z-index:15754240" id="docshape6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Update”</w:t>
      </w:r>
      <w:r>
        <w:rPr>
          <w:color w:val="6E6158"/>
          <w:spacing w:val="13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0" w:lineRule="auto" w:before="182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174934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395pt;width:1.65pt;height:1.65pt;mso-position-horizontal-relative:page;mso-position-vertical-relative:paragraph;z-index:15754752" id="docshape6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433300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8137pt;width:1.65pt;height:1.65pt;mso-position-horizontal-relative:page;mso-position-vertical-relative:paragraph;z-index:15755264" id="docshape6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Conference Advisory Committee on Evidence Rules (panelist), Fall Meeting, 2022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Procedure</w:t>
      </w:r>
      <w:r>
        <w:rPr>
          <w:color w:val="6E6158"/>
          <w:spacing w:val="14"/>
        </w:rPr>
        <w:t> </w:t>
      </w:r>
      <w:r>
        <w:rPr>
          <w:color w:val="6E6158"/>
        </w:rPr>
        <w:t>Symposium</w:t>
      </w:r>
      <w:r>
        <w:rPr>
          <w:color w:val="6E6158"/>
          <w:spacing w:val="14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Arizona,</w:t>
      </w:r>
      <w:r>
        <w:rPr>
          <w:color w:val="6E6158"/>
          <w:spacing w:val="14"/>
        </w:rPr>
        <w:t> </w:t>
      </w:r>
      <w:r>
        <w:rPr>
          <w:color w:val="6E6158"/>
        </w:rPr>
        <w:t>September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244378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242424pt;width:1.65pt;height:1.65pt;mso-position-horizontal-relative:page;mso-position-vertical-relative:paragraph;z-index:15755776" id="docshape64" coordorigin="1670,385" coordsize="33,33" path="m1691,417l1682,417,1678,416,1671,409,1670,406,1670,397,1671,393,1678,386,1682,385,1691,385,1694,386,1701,393,1702,397,1702,401,1702,406,1701,409,1694,416,1691,4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“Complex Civil Litigation and Tier 3 Cases in Commercial Court: Everything You’ve Always Needed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Know,</w:t>
      </w:r>
      <w:r>
        <w:rPr>
          <w:color w:val="6E6158"/>
          <w:spacing w:val="30"/>
        </w:rPr>
        <w:t> </w:t>
      </w:r>
      <w:r>
        <w:rPr>
          <w:color w:val="6E6158"/>
        </w:rPr>
        <w:t>But</w:t>
      </w:r>
      <w:r>
        <w:rPr>
          <w:color w:val="6E6158"/>
          <w:spacing w:val="30"/>
        </w:rPr>
        <w:t> </w:t>
      </w:r>
      <w:r>
        <w:rPr>
          <w:color w:val="6E6158"/>
        </w:rPr>
        <w:t>Were</w:t>
      </w:r>
      <w:r>
        <w:rPr>
          <w:color w:val="6E6158"/>
          <w:spacing w:val="30"/>
        </w:rPr>
        <w:t> </w:t>
      </w:r>
      <w:r>
        <w:rPr>
          <w:color w:val="6E6158"/>
        </w:rPr>
        <w:t>Afraid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Ask!”</w:t>
      </w:r>
      <w:r>
        <w:rPr>
          <w:color w:val="6E6158"/>
          <w:spacing w:val="30"/>
        </w:rPr>
        <w:t> </w:t>
      </w:r>
      <w:r>
        <w:rPr>
          <w:color w:val="6E6158"/>
        </w:rPr>
        <w:t>(panelist),</w:t>
      </w:r>
      <w:r>
        <w:rPr>
          <w:color w:val="6E6158"/>
          <w:spacing w:val="30"/>
        </w:rPr>
        <w:t> </w:t>
      </w:r>
      <w:r>
        <w:rPr>
          <w:color w:val="6E6158"/>
        </w:rPr>
        <w:t>Maricopa</w:t>
      </w:r>
      <w:r>
        <w:rPr>
          <w:color w:val="6E6158"/>
          <w:spacing w:val="30"/>
        </w:rPr>
        <w:t> </w:t>
      </w:r>
      <w:r>
        <w:rPr>
          <w:color w:val="6E6158"/>
        </w:rPr>
        <w:t>County</w:t>
      </w:r>
      <w:r>
        <w:rPr>
          <w:color w:val="6E6158"/>
          <w:spacing w:val="30"/>
        </w:rPr>
        <w:t> </w:t>
      </w:r>
      <w:r>
        <w:rPr>
          <w:color w:val="6E6158"/>
        </w:rPr>
        <w:t>Bar</w:t>
      </w:r>
      <w:r>
        <w:rPr>
          <w:color w:val="6E6158"/>
          <w:spacing w:val="30"/>
        </w:rPr>
        <w:t> </w:t>
      </w:r>
      <w:r>
        <w:rPr>
          <w:color w:val="6E6158"/>
        </w:rPr>
        <w:t>Association,</w:t>
      </w:r>
    </w:p>
    <w:p>
      <w:pPr>
        <w:pStyle w:val="BodyText"/>
        <w:spacing w:before="7"/>
      </w:pPr>
      <w:r>
        <w:rPr>
          <w:color w:val="6E6158"/>
        </w:rPr>
        <w:t>October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263301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374pt;width:1.65pt;height:1.65pt;mso-position-horizontal-relative:page;mso-position-vertical-relative:paragraph;z-index:15756288" id="docshape65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“Where the Rubber Meets the Road: How the 2017 and 2018 Civil Rules Changes Are Impacting Litigation” (panelist), State Bar of Arizona, January 2019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236261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275pt;width:1.65pt;height:1.65pt;mso-position-horizontal-relative:page;mso-position-vertical-relative:paragraph;z-index:15756800" id="docshape6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“War Stories: Senior Litigators’ Tales from the Trenches and Lessons Learned” (co-presenter), Maricopa</w:t>
      </w:r>
      <w:r>
        <w:rPr>
          <w:color w:val="6E6158"/>
          <w:spacing w:val="37"/>
        </w:rPr>
        <w:t> </w:t>
      </w:r>
      <w:r>
        <w:rPr>
          <w:color w:val="6E6158"/>
        </w:rPr>
        <w:t>County</w:t>
      </w:r>
      <w:r>
        <w:rPr>
          <w:color w:val="6E6158"/>
          <w:spacing w:val="37"/>
        </w:rPr>
        <w:t> </w:t>
      </w:r>
      <w:r>
        <w:rPr>
          <w:color w:val="6E6158"/>
        </w:rPr>
        <w:t>Bar</w:t>
      </w:r>
      <w:r>
        <w:rPr>
          <w:color w:val="6E6158"/>
          <w:spacing w:val="37"/>
        </w:rPr>
        <w:t> </w:t>
      </w:r>
      <w:r>
        <w:rPr>
          <w:color w:val="6E6158"/>
        </w:rPr>
        <w:t>Association</w:t>
      </w:r>
      <w:r>
        <w:rPr>
          <w:color w:val="6E6158"/>
          <w:spacing w:val="37"/>
        </w:rPr>
        <w:t> </w:t>
      </w:r>
      <w:r>
        <w:rPr>
          <w:color w:val="6E6158"/>
        </w:rPr>
        <w:t>Litigation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Sections,</w:t>
      </w:r>
      <w:r>
        <w:rPr>
          <w:color w:val="6E6158"/>
          <w:spacing w:val="37"/>
        </w:rPr>
        <w:t> </w:t>
      </w:r>
      <w:r>
        <w:rPr>
          <w:color w:val="6E6158"/>
        </w:rPr>
        <w:t>December</w:t>
      </w:r>
      <w:r>
        <w:rPr>
          <w:color w:val="6E6158"/>
          <w:spacing w:val="37"/>
        </w:rPr>
        <w:t> </w:t>
      </w:r>
      <w:r>
        <w:rPr>
          <w:color w:val="6E6158"/>
        </w:rPr>
        <w:t>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8848" id="docshape6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“2018 Civil Practice and Procedure Symposium” (seminar co-chair and panelist)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Arizona, April 2018</w:t>
      </w:r>
    </w:p>
    <w:p>
      <w:pPr>
        <w:pStyle w:val="BodyText"/>
        <w:spacing w:line="292" w:lineRule="auto" w:before="132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324035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4589pt;width:1.65pt;height:1.65pt;mso-position-horizontal-relative:page;mso-position-vertical-relative:paragraph;z-index:15759360" id="docshape6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“Proportionality Takes Center Stage: The 2018 Revisions to the Arizona Rules of Civil Procedure”</w:t>
      </w:r>
      <w:r>
        <w:rPr>
          <w:color w:val="6E6158"/>
          <w:spacing w:val="40"/>
        </w:rPr>
        <w:t> </w:t>
      </w:r>
      <w:r>
        <w:rPr>
          <w:color w:val="6E6158"/>
        </w:rPr>
        <w:t>(co-presenter),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Maricopa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</w:pPr>
      <w:r>
        <w:rPr>
          <w:color w:val="6E6158"/>
        </w:rPr>
        <w:t>Sandra</w:t>
      </w:r>
      <w:r>
        <w:rPr>
          <w:color w:val="6E6158"/>
          <w:spacing w:val="11"/>
        </w:rPr>
        <w:t> </w:t>
      </w:r>
      <w:r>
        <w:rPr>
          <w:color w:val="6E6158"/>
        </w:rPr>
        <w:t>Day</w:t>
      </w:r>
      <w:r>
        <w:rPr>
          <w:color w:val="6E6158"/>
          <w:spacing w:val="11"/>
        </w:rPr>
        <w:t> </w:t>
      </w:r>
      <w:r>
        <w:rPr>
          <w:color w:val="6E6158"/>
        </w:rPr>
        <w:t>O’Connor</w:t>
      </w:r>
      <w:r>
        <w:rPr>
          <w:color w:val="6E6158"/>
          <w:spacing w:val="11"/>
        </w:rPr>
        <w:t> </w:t>
      </w:r>
      <w:r>
        <w:rPr>
          <w:color w:val="6E6158"/>
        </w:rPr>
        <w:t>Inn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1060346</wp:posOffset>
                </wp:positionH>
                <wp:positionV relativeFrom="paragraph">
                  <wp:posOffset>268114</wp:posOffset>
                </wp:positionV>
                <wp:extent cx="20955" cy="2095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414pt;width:1.65pt;height:1.65pt;mso-position-horizontal-relative:page;mso-position-vertical-relative:paragraph;z-index:-15699968;mso-wrap-distance-left:0;mso-wrap-distance-right:0" id="docshape69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“2018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Justice</w:t>
      </w:r>
      <w:r>
        <w:rPr>
          <w:color w:val="6E6158"/>
          <w:spacing w:val="13"/>
        </w:rPr>
        <w:t> </w:t>
      </w:r>
      <w:r>
        <w:rPr>
          <w:color w:val="6E6158"/>
        </w:rPr>
        <w:t>Reforms:</w:t>
      </w:r>
      <w:r>
        <w:rPr>
          <w:color w:val="6E6158"/>
          <w:spacing w:val="12"/>
        </w:rPr>
        <w:t> </w:t>
      </w:r>
      <w:r>
        <w:rPr>
          <w:color w:val="6E6158"/>
        </w:rPr>
        <w:t>Case</w:t>
      </w:r>
      <w:r>
        <w:rPr>
          <w:color w:val="6E6158"/>
          <w:spacing w:val="13"/>
        </w:rPr>
        <w:t> </w:t>
      </w:r>
      <w:r>
        <w:rPr>
          <w:color w:val="6E6158"/>
        </w:rPr>
        <w:t>Management,</w:t>
      </w:r>
      <w:r>
        <w:rPr>
          <w:color w:val="6E6158"/>
          <w:spacing w:val="12"/>
        </w:rPr>
        <w:t> </w:t>
      </w:r>
      <w:r>
        <w:rPr>
          <w:color w:val="6E6158"/>
        </w:rPr>
        <w:t>ESI,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More”</w:t>
      </w:r>
      <w:r>
        <w:rPr>
          <w:color w:val="6E6158"/>
          <w:spacing w:val="12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Arizona,</w:t>
      </w:r>
    </w:p>
    <w:p>
      <w:pPr>
        <w:pStyle w:val="BodyText"/>
        <w:spacing w:before="12"/>
      </w:pPr>
      <w:r>
        <w:rPr>
          <w:color w:val="6E6158"/>
        </w:rPr>
        <w:t>January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263007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213pt;width:1.65pt;height:1.65pt;mso-position-horizontal-relative:page;mso-position-vertical-relative:paragraph;z-index:15759872" id="docshape70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“Meet the New Rules: The Restyled Arizona Rules of Civil Procedure” (seminar chair </w:t>
      </w:r>
      <w:r>
        <w:rPr>
          <w:color w:val="6E6158"/>
        </w:rPr>
        <w:t>and panelist), State Bar of Arizona “CLE by the Sea,” July 2017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1060346</wp:posOffset>
                </wp:positionH>
                <wp:positionV relativeFrom="paragraph">
                  <wp:posOffset>235967</wp:posOffset>
                </wp:positionV>
                <wp:extent cx="20955" cy="20955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091pt;width:1.65pt;height:1.65pt;mso-position-horizontal-relative:page;mso-position-vertical-relative:paragraph;z-index:-15699456;mso-wrap-distance-left:0;mso-wrap-distance-right:0" id="docshape7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“Better,</w:t>
      </w:r>
      <w:r>
        <w:rPr>
          <w:color w:val="6E6158"/>
          <w:spacing w:val="8"/>
        </w:rPr>
        <w:t> </w:t>
      </w:r>
      <w:r>
        <w:rPr>
          <w:color w:val="6E6158"/>
        </w:rPr>
        <w:t>Faster,</w:t>
      </w:r>
      <w:r>
        <w:rPr>
          <w:color w:val="6E6158"/>
          <w:spacing w:val="8"/>
        </w:rPr>
        <w:t> </w:t>
      </w:r>
      <w:r>
        <w:rPr>
          <w:color w:val="6E6158"/>
        </w:rPr>
        <w:t>Cheaper:</w:t>
      </w:r>
      <w:r>
        <w:rPr>
          <w:color w:val="6E6158"/>
          <w:spacing w:val="8"/>
        </w:rPr>
        <w:t> </w:t>
      </w:r>
      <w:r>
        <w:rPr>
          <w:color w:val="6E6158"/>
        </w:rPr>
        <w:t>Case</w:t>
      </w:r>
      <w:r>
        <w:rPr>
          <w:color w:val="6E6158"/>
          <w:spacing w:val="9"/>
        </w:rPr>
        <w:t> </w:t>
      </w:r>
      <w:r>
        <w:rPr>
          <w:color w:val="6E6158"/>
        </w:rPr>
        <w:t>Management</w:t>
      </w:r>
      <w:r>
        <w:rPr>
          <w:color w:val="6E6158"/>
          <w:spacing w:val="8"/>
        </w:rPr>
        <w:t> </w:t>
      </w:r>
      <w:r>
        <w:rPr>
          <w:color w:val="6E6158"/>
        </w:rPr>
        <w:t>Reforms</w:t>
      </w:r>
      <w:r>
        <w:rPr>
          <w:color w:val="6E6158"/>
          <w:spacing w:val="8"/>
        </w:rPr>
        <w:t> </w:t>
      </w:r>
      <w:r>
        <w:rPr>
          <w:color w:val="6E6158"/>
        </w:rPr>
        <w:t>Coming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Near</w:t>
      </w:r>
      <w:r>
        <w:rPr>
          <w:color w:val="6E6158"/>
          <w:spacing w:val="8"/>
        </w:rPr>
        <w:t> </w:t>
      </w:r>
      <w:r>
        <w:rPr>
          <w:color w:val="6E6158"/>
        </w:rPr>
        <w:t>You”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(panelist),</w:t>
      </w:r>
    </w:p>
    <w:p>
      <w:pPr>
        <w:pStyle w:val="BodyText"/>
        <w:spacing w:before="12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263004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023pt;width:1.65pt;height:1.65pt;mso-position-horizontal-relative:page;mso-position-vertical-relative:paragraph;z-index:15760384" id="docshape72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Changing Federal Rules: Proportionality and More” (seminar chair and panelist),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 “CLE by the Sea,” July 2017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235964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899pt;width:1.65pt;height:1.65pt;mso-position-horizontal-relative:page;mso-position-vertical-relative:paragraph;z-index:15760896" id="docshape7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“Under New Management: Case Management Reform Rule Changes” (panelist),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 Convention, June 2017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136464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5268pt;width:1.65pt;height:1.65pt;mso-position-horizontal-relative:page;mso-position-vertical-relative:paragraph;z-index:15761408" id="docshape74" coordorigin="1670,215" coordsize="33,33" path="m1691,247l1682,247,1678,246,1671,240,1670,236,1670,227,1671,223,1678,216,1682,215,1691,215,1694,216,1701,223,1702,227,1702,231,1702,236,1701,240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“Evidence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Update”</w:t>
      </w:r>
      <w:r>
        <w:rPr>
          <w:color w:val="6E6158"/>
          <w:spacing w:val="15"/>
        </w:rPr>
        <w:t> </w:t>
      </w:r>
      <w:r>
        <w:rPr>
          <w:color w:val="6E6158"/>
        </w:rPr>
        <w:t>(panelist),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Convention,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268160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975pt;width:1.65pt;height:1.65pt;mso-position-horizontal-relative:page;mso-position-vertical-relative:paragraph;z-index:15761920" id="docshape7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“2017 Civil Rules Changes: What Every Litigator Needs to Know” (co-presenter), </w:t>
      </w:r>
      <w:r>
        <w:rPr>
          <w:color w:val="6E6158"/>
        </w:rPr>
        <w:t>Maricopa County Bar Association, February 2017</w:t>
      </w:r>
    </w:p>
    <w:p>
      <w:pPr>
        <w:pStyle w:val="BodyText"/>
        <w:spacing w:line="292" w:lineRule="auto" w:before="11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224119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190pt;width:1.65pt;height:1.65pt;mso-position-horizontal-relative:page;mso-position-vertical-relative:paragraph;z-index:15762432" id="docshape76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Time of Change: The 2017 ARCP Revisions” (panelist), Scottsdale Bar Association, </w:t>
      </w:r>
      <w:r>
        <w:rPr>
          <w:color w:val="6E6158"/>
        </w:rPr>
        <w:t>February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42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142801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202pt;width:1.65pt;height:1.65pt;mso-position-horizontal-relative:page;mso-position-vertical-relative:paragraph;z-index:15762944" id="docshape77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401166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7921pt;width:1.65pt;height:1.65pt;mso-position-horizontal-relative:page;mso-position-vertical-relative:paragraph;z-index:15763456" id="docshape78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“2017 Civil Rules Update” (co-presenter), Arizona Attorney General’s Office, February </w:t>
      </w:r>
      <w:r>
        <w:rPr>
          <w:color w:val="6E6158"/>
        </w:rPr>
        <w:t>2017</w:t>
      </w:r>
      <w:r>
        <w:rPr>
          <w:color w:val="6E6158"/>
          <w:spacing w:val="40"/>
        </w:rPr>
        <w:t> </w:t>
      </w:r>
      <w:r>
        <w:rPr>
          <w:color w:val="6E6158"/>
        </w:rPr>
        <w:t>“Evidence Law Update Reprise” (panelist), State Bar of Arizona, February 2017</w:t>
      </w:r>
    </w:p>
    <w:p>
      <w:pPr>
        <w:pStyle w:val="BodyText"/>
        <w:spacing w:line="292" w:lineRule="auto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147824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9702pt;width:1.65pt;height:1.65pt;mso-position-horizontal-relative:page;mso-position-vertical-relative:paragraph;z-index:15763968" id="docshape79" coordorigin="1670,233" coordsize="33,33" path="m1691,265l1682,265,1678,264,1671,257,1670,254,1670,245,1671,241,1678,234,1682,233,1691,233,1694,234,1701,241,1702,245,1702,249,1702,254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Time of Change: The 2017 ARCP Revisions, and Proposals for 2018” (faculty member), 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Arizona, January 2016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138261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86717pt;width:1.65pt;height:1.65pt;mso-position-horizontal-relative:page;mso-position-vertical-relative:paragraph;z-index:15764480" id="docshape80" coordorigin="1670,218" coordsize="33,33" path="m1691,250l1682,250,1678,249,1671,242,1670,239,1670,230,1671,226,1678,219,1682,218,1691,218,1694,219,1701,226,1702,230,1702,234,1702,239,1701,242,1694,249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Updates”</w:t>
      </w:r>
      <w:r>
        <w:rPr>
          <w:color w:val="6E6158"/>
          <w:spacing w:val="15"/>
        </w:rPr>
        <w:t> </w:t>
      </w:r>
      <w:r>
        <w:rPr>
          <w:color w:val="6E6158"/>
        </w:rPr>
        <w:t>(faculty</w:t>
      </w:r>
      <w:r>
        <w:rPr>
          <w:color w:val="6E6158"/>
          <w:spacing w:val="15"/>
        </w:rPr>
        <w:t> </w:t>
      </w:r>
      <w:r>
        <w:rPr>
          <w:color w:val="6E6158"/>
        </w:rPr>
        <w:t>member),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82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268053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594pt;width:1.65pt;height:1.65pt;mso-position-horizontal-relative:page;mso-position-vertical-relative:paragraph;z-index:15764992" id="docshape81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“Where We’re Going, We Still Need Rules: Back to the Future in Civil Litigation” (panelist), State Bar of Arizona Convention, June 2016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230766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624pt;width:1.65pt;height:1.65pt;mso-position-horizontal-relative:page;mso-position-vertical-relative:paragraph;z-index:15765504" id="docshape8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“Sea Changes in the Federal and Arizona Rules of Civil procedure: The Winter 2016 Civil Rules</w:t>
      </w:r>
      <w:r>
        <w:rPr>
          <w:color w:val="6E6158"/>
          <w:spacing w:val="40"/>
        </w:rPr>
        <w:t> </w:t>
      </w:r>
      <w:r>
        <w:rPr>
          <w:color w:val="6E6158"/>
        </w:rPr>
        <w:t>Update” (panelist), State Bar of Arizona, February 2016</w:t>
      </w:r>
    </w:p>
    <w:p>
      <w:pPr>
        <w:pStyle w:val="BodyText"/>
        <w:spacing w:before="132" w:after="7"/>
      </w:pPr>
      <w:r>
        <w:rPr>
          <w:color w:val="6E6158"/>
        </w:rPr>
        <w:t>“2015</w:t>
      </w:r>
      <w:r>
        <w:rPr>
          <w:color w:val="6E6158"/>
          <w:spacing w:val="11"/>
        </w:rPr>
        <w:t> </w:t>
      </w:r>
      <w:r>
        <w:rPr>
          <w:color w:val="6E6158"/>
        </w:rPr>
        <w:t>Amendments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Rules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Procedure,”</w:t>
      </w:r>
      <w:r>
        <w:rPr>
          <w:color w:val="6E6158"/>
          <w:spacing w:val="12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Co-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83" coordorigin="0,0" coordsize="33,33">
                <v:shape style="position:absolute;left:0;top:0;width:33;height:33" id="docshape8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General’s</w:t>
      </w:r>
      <w:r>
        <w:rPr>
          <w:color w:val="6E6158"/>
          <w:spacing w:val="13"/>
        </w:rPr>
        <w:t> </w:t>
      </w:r>
      <w:r>
        <w:rPr>
          <w:color w:val="6E6158"/>
        </w:rPr>
        <w:t>Office,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302" w:lineRule="auto" w:before="173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267885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357pt;width:1.65pt;height:1.65pt;mso-position-horizontal-relative:page;mso-position-vertical-relative:paragraph;z-index:15766016" id="docshape85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 Litigation Rules and Case Law Update” (panelist), State Bar of Arizona Convention,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1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224479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571pt;width:1.65pt;height:1.65pt;mso-position-horizontal-relative:page;mso-position-vertical-relative:paragraph;z-index:15766528" id="docshape86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“2015 Civil Practice and Procedure Symposium,” State Bar of Arizona, Seminar Chair </w:t>
      </w:r>
      <w:r>
        <w:rPr>
          <w:color w:val="6E6158"/>
        </w:rPr>
        <w:t>and Panelist, April 2015</w:t>
      </w:r>
    </w:p>
    <w:p>
      <w:pPr>
        <w:pStyle w:val="BodyText"/>
        <w:spacing w:line="302" w:lineRule="auto" w:before="12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236174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426pt;width:1.65pt;height:1.65pt;mso-position-horizontal-relative:page;mso-position-vertical-relative:paragraph;z-index:15767040" id="docshape87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Rules They Are A-Changin’ (Again): 2015 Arizona Civil Rules Update,” State Bar </w:t>
      </w:r>
      <w:r>
        <w:rPr>
          <w:color w:val="6E6158"/>
        </w:rPr>
        <w:t>of Arizona, Panelist, January 2015</w:t>
      </w:r>
    </w:p>
    <w:p>
      <w:pPr>
        <w:pStyle w:val="Heading2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157575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523pt;width:1.65pt;height:1.65pt;mso-position-horizontal-relative:page;mso-position-vertical-relative:paragraph;z-index:15767552" id="docshape88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263151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0552pt;width:1.65pt;height:1.65pt;mso-position-horizontal-relative:page;mso-position-vertical-relative:paragraph;z-index:15768064" id="docshape8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Arizona: Civil Practice and Procedure Committee (Chair, 2011-2014; </w:t>
      </w:r>
      <w:r>
        <w:rPr>
          <w:color w:val="6E6158"/>
        </w:rPr>
        <w:t>member, 2000-present); Ethical Rule 1.15 Task Force; Business Section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8576" id="docshape9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375968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849pt;width:1.65pt;height:1.65pt;mso-position-horizontal-relative:page;mso-position-vertical-relative:paragraph;z-index:15769088" id="docshape9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on Superior Court, Arizona Judicial Council (State Bar of Arizona </w:t>
      </w:r>
      <w:r>
        <w:rPr>
          <w:color w:val="6E6158"/>
        </w:rPr>
        <w:t>Representative)</w:t>
      </w:r>
      <w:r>
        <w:rPr>
          <w:color w:val="6E6158"/>
          <w:spacing w:val="40"/>
        </w:rPr>
        <w:t> </w:t>
      </w:r>
      <w:r>
        <w:rPr>
          <w:color w:val="6E6158"/>
        </w:rPr>
        <w:t>Coach, Veritas Preparatory Academy Mock Trial Team, 2020-2025</w:t>
      </w:r>
    </w:p>
    <w:p>
      <w:pPr>
        <w:pStyle w:val="BodyText"/>
        <w:spacing w:line="292" w:lineRule="auto"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156899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4301pt;width:1.65pt;height:1.65pt;mso-position-horizontal-relative:page;mso-position-vertical-relative:paragraph;z-index:15769600" id="docshape92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Civil Pretrial Practice, Sandra Day O’Connor College of Law, Arizona State University, 2018-2022</w:t>
      </w:r>
    </w:p>
    <w:p>
      <w:pPr>
        <w:pStyle w:val="BodyText"/>
        <w:spacing w:line="420" w:lineRule="auto" w:before="123"/>
        <w:ind w:right="1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142893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1493pt;width:1.65pt;height:1.65pt;mso-position-horizontal-relative:page;mso-position-vertical-relative:paragraph;z-index:15770112" id="docshape9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401259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5243pt;width:1.65pt;height:1.65pt;mso-position-horizontal-relative:page;mso-position-vertical-relative:paragraph;z-index:15770624" id="docshape94" coordorigin="1670,632" coordsize="33,33" path="m1691,664l1682,664,1678,663,1671,657,1670,653,1670,644,1671,640,1678,633,1682,632,1691,632,1694,633,1701,640,1702,644,1702,648,1702,653,1701,657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Committee on Rules of Evidence, Arizona Supreme Court, 2012-</w:t>
      </w:r>
      <w:r>
        <w:rPr>
          <w:color w:val="6E6158"/>
        </w:rPr>
        <w:t>2018 Committee on Civil Justice Reform, Arizona Supreme Court, 2017</w:t>
      </w:r>
    </w:p>
    <w:p>
      <w:pPr>
        <w:pStyle w:val="BodyText"/>
        <w:spacing w:line="292" w:lineRule="auto" w:before="7"/>
        <w:ind w:right="4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156792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45879pt;width:1.65pt;height:1.65pt;mso-position-horizontal-relative:page;mso-position-vertical-relative:paragraph;z-index:15771136" id="docshape95" coordorigin="1670,247" coordsize="33,33" path="m1691,279l1682,279,1678,278,1671,272,1670,268,1670,259,1671,255,1678,249,1682,247,1691,247,1694,249,1701,255,1702,259,1702,263,1702,268,1701,272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Task Force on the Arizona Rules of Civil Procedure, Arizona Supreme Court: Co- Chair, 2014-</w:t>
      </w:r>
      <w:r>
        <w:rPr>
          <w:color w:val="6E6158"/>
          <w:spacing w:val="-4"/>
        </w:rPr>
        <w:t>2016</w:t>
      </w:r>
    </w:p>
    <w:p>
      <w:pPr>
        <w:pStyle w:val="BodyText"/>
        <w:spacing w:line="420" w:lineRule="auto" w:before="123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142782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713pt;width:1.65pt;height:1.65pt;mso-position-horizontal-relative:page;mso-position-vertical-relative:paragraph;z-index:15771648" id="docshape9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401148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6475pt;width:1.65pt;height:1.65pt;mso-position-horizontal-relative:page;mso-position-vertical-relative:paragraph;z-index:15772160" id="docshape97" coordorigin="1670,632" coordsize="33,33" path="m1691,664l1682,664,1678,663,1671,656,1670,652,1670,644,1671,640,1678,633,1682,632,1691,632,1694,633,1701,640,1702,644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Court Advisory Committee, Arizona Supreme Court, 2015 Commercial Court Review Committee, Arizona Supreme Court, </w:t>
      </w:r>
      <w:r>
        <w:rPr>
          <w:color w:val="6E6158"/>
        </w:rPr>
        <w:t>2018</w:t>
      </w:r>
    </w:p>
    <w:p>
      <w:pPr>
        <w:pStyle w:val="BodyText"/>
        <w:spacing w:line="420" w:lineRule="auto" w:before="7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63668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3258pt;width:1.65pt;height:1.65pt;mso-position-horizontal-relative:page;mso-position-vertical-relative:paragraph;z-index:15772672" id="docshape98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327200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3851pt;width:1.65pt;height:1.65pt;mso-position-horizontal-relative:page;mso-position-vertical-relative:paragraph;z-index:15773184" id="docshape99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585566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07601pt;width:1.65pt;height:1.65pt;mso-position-horizontal-relative:page;mso-position-vertical-relative:paragraph;z-index:15773696" id="docshape100" coordorigin="1670,922" coordsize="33,33" path="m1691,955l1682,955,1678,953,1671,947,1670,943,1670,934,1671,930,1678,924,1682,922,1691,922,1694,924,1701,930,1702,934,1702,938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Case Management and Trial Setting Task Force, Administrative Office of the Court, 2013 Commercial Court Practices and Procedure Committee, Maricopa County Superior </w:t>
      </w:r>
      <w:r>
        <w:rPr>
          <w:color w:val="6E6158"/>
        </w:rPr>
        <w:t>Court Civil Study Committee, Maricopa County Superior Court</w:t>
      </w:r>
    </w:p>
    <w:p>
      <w:pPr>
        <w:pStyle w:val="BodyText"/>
        <w:spacing w:line="302" w:lineRule="auto"/>
        <w:ind w:right="2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155889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74766pt;width:1.65pt;height:1.65pt;mso-position-horizontal-relative:page;mso-position-vertical-relative:paragraph;z-index:15774208" id="docshape101" coordorigin="1670,245" coordsize="33,33" path="m1691,278l1682,278,1678,276,1671,270,1670,266,1670,257,1671,253,1678,247,1682,245,1691,245,1694,247,1701,253,1702,257,1702,262,1702,266,1701,270,1694,276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on Civil Rules of Procedure for Limited Jurisdiction Courts, Arizona Supreme </w:t>
      </w: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2011-2012</w:t>
      </w:r>
    </w:p>
    <w:p>
      <w:pPr>
        <w:pStyle w:val="BodyText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134494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90135pt;width:1.65pt;height:1.65pt;mso-position-horizontal-relative:page;mso-position-vertical-relative:paragraph;z-index:15774720" id="docshape102" coordorigin="1670,212" coordsize="33,33" path="m1691,244l1682,244,1678,243,1671,236,1670,233,1670,224,1671,220,1678,213,1682,212,1691,212,1694,213,1701,220,1702,224,1702,228,1702,233,1701,236,1694,243,1691,2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line="422" w:lineRule="auto" w:before="174"/>
        <w:ind w:right="4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175084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18pt;width:1.65pt;height:1.65pt;mso-position-horizontal-relative:page;mso-position-vertical-relative:paragraph;z-index:15775232" id="docshape103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433450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9929pt;width:1.65pt;height:1.65pt;mso-position-horizontal-relative:page;mso-position-vertical-relative:paragraph;z-index:15775744" id="docshape104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691815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73679pt;width:1.65pt;height:1.65pt;mso-position-horizontal-relative:page;mso-position-vertical-relative:paragraph;z-index:15776256" id="docshape105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Scottsdale Bar Association Member, Maricopa County Bar </w:t>
      </w:r>
      <w:r>
        <w:rPr>
          <w:color w:val="6E6158"/>
        </w:rPr>
        <w:t>Association Thurgood Marshall Inn of Court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157737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0275pt;width:1.65pt;height:1.65pt;mso-position-horizontal-relative:page;mso-position-vertical-relative:paragraph;z-index:15776768" id="docshape10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416103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4019pt;width:1.65pt;height:1.65pt;mso-position-horizontal-relative:page;mso-position-vertical-relative:paragraph;z-index:15777280" id="docshape10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63383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0818pt;width:1.65pt;height:1.65pt;mso-position-horizontal-relative:page;mso-position-vertical-relative:paragraph;z-index:15777792" id="docshape108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175180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703pt;width:1.65pt;height:1.65pt;mso-position-horizontal-relative:page;mso-position-vertical-relative:paragraph;z-index:15778304" id="docshape10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wklain@fennemorelaw.com" TargetMode="External"/><Relationship Id="rId11" Type="http://schemas.openxmlformats.org/officeDocument/2006/relationships/hyperlink" Target="https://www.fennemorelaw.com/disgorgement-without-harm-ninth-circuit-sets-new-stakes-for-public-companies-and-investors-across-the-western-united-states/" TargetMode="External"/><Relationship Id="rId12" Type="http://schemas.openxmlformats.org/officeDocument/2006/relationships/hyperlink" Target="https://www.bizjournals.com/phoenix/news/2025/04/04/arizona-commercial-court-business-litigants.html" TargetMode="External"/><Relationship Id="rId13" Type="http://schemas.openxmlformats.org/officeDocument/2006/relationships/hyperlink" Target="https://azbigmedia.com/publications/azbusiness-january-february-2025/" TargetMode="External"/><Relationship Id="rId14" Type="http://schemas.openxmlformats.org/officeDocument/2006/relationships/hyperlink" Target="https://www.fennemorelaw.com/seven-significant-differences-between-arizona-and-federal-civil-procedure-in-2024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G. Klain - Fennemore</dc:title>
  <dcterms:created xsi:type="dcterms:W3CDTF">2026-04-18T22:29:49Z</dcterms:created>
  <dcterms:modified xsi:type="dcterms:W3CDTF">2026-04-18T22:29:49Z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