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5"/>
        <w:rPr>
          <w:rFonts w:ascii="Times New Roman"/>
        </w:rPr>
      </w:pPr>
    </w:p>
    <w:p>
      <w:pPr>
        <w:pStyle w:val="BodyText"/>
        <w:spacing w:line="297" w:lineRule="auto"/>
        <w:ind w:left="99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-4761464</wp:posOffset>
                </wp:positionV>
                <wp:extent cx="6071870" cy="46697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669790"/>
                          <a:chExt cx="6071870" cy="4669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5219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EW26 Albert Flo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01606" y="1576031"/>
                            <a:ext cx="190690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905" h="320675">
                                <a:moveTo>
                                  <a:pt x="1906739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06739" y="320382"/>
                                </a:lnTo>
                                <a:lnTo>
                                  <a:pt x="1906739" y="315214"/>
                                </a:lnTo>
                                <a:close/>
                              </a:path>
                              <a:path w="1906905" h="320675">
                                <a:moveTo>
                                  <a:pt x="19067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06739" y="5168"/>
                                </a:lnTo>
                                <a:lnTo>
                                  <a:pt x="1906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99598" y="763308"/>
                            <a:ext cx="1920875" cy="1031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ALBERT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FLOR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JR.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34890" y="2066319"/>
                            <a:ext cx="4502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34881" y="2226475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698136" y="2226475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901320" y="2433198"/>
                            <a:ext cx="13176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aflor@fennemorelaw.com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23854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407563" y="3688855"/>
                            <a:ext cx="127254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Fight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power.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Go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Bears!!</w:t>
                              </w:r>
                            </w:p>
                            <w:p>
                              <w:pPr>
                                <w:spacing w:before="8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–Leon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Litwack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481270"/>
                            <a:ext cx="117856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ALBERT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FLOR</w:t>
                              </w:r>
                              <w:r>
                                <w:rPr>
                                  <w:b/>
                                  <w:color w:val="FF810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5"/>
                                  <w:sz w:val="24"/>
                                </w:rPr>
                                <w:t>JR.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23854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4.918457pt;width:478.1pt;height:367.7pt;mso-position-horizontal-relative:page;mso-position-vertical-relative:paragraph;z-index:15728640" id="docshapegroup1" coordorigin="1336,-7498" coordsize="9562,7354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499;width:2165;height:424" type="#_x0000_t75" id="docshape3" alt="Fennemore" href="https://www.fennemorelaw.com/" stroked="false">
                  <v:imagedata r:id="rId5" o:title=""/>
                </v:shape>
                <v:shape style="position:absolute;left:1336;top:-7076;width:4785;height:4452" type="#_x0000_t75" id="docshape4" alt="NEW26 Albert Flor bio" stroked="false">
                  <v:imagedata r:id="rId7" o:title=""/>
                </v:shape>
                <v:rect style="position:absolute;left:6121;top:-7076;width:4777;height:4452" id="docshape5" filled="true" fillcolor="#262424" stroked="false">
                  <v:fill type="solid"/>
                </v:rect>
                <v:shape style="position:absolute;left:7008;top:-5017;width:3003;height:505" id="docshape6" coordorigin="7008,-5016" coordsize="3003,505" path="m10011,-4520l7008,-4520,7008,-4512,10011,-4512,10011,-4520xm10011,-5016l7008,-5016,7008,-5008,10011,-5008,10011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04;top:-6297;width:3025;height:1625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ALBERT</w:t>
                        </w:r>
                        <w:r>
                          <w:rPr>
                            <w:color w:val="FFFFFF"/>
                            <w:spacing w:val="1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FLOR</w:t>
                        </w:r>
                        <w:r>
                          <w:rPr>
                            <w:color w:val="FFFFFF"/>
                            <w:spacing w:val="1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JR.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62;top:-4245;width:709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60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</w:txbxContent>
                  </v:textbox>
                  <w10:wrap type="none"/>
                </v:shape>
                <v:shape style="position:absolute;left:8734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480;top:-3667;width:2075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aflor@fennemorelaw.com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5127;top:-1690;width:2004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Fight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power.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Go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Bears!!</w:t>
                        </w:r>
                      </w:p>
                      <w:p>
                        <w:pPr>
                          <w:spacing w:before="8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–Leon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Litwack</w:t>
                        </w:r>
                      </w:p>
                    </w:txbxContent>
                  </v:textbox>
                  <w10:wrap type="none"/>
                </v:shape>
                <v:shape style="position:absolute;left:1539;top:-442;width:1856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ALBERT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FLOR</w:t>
                        </w:r>
                        <w:r>
                          <w:rPr>
                            <w:b/>
                            <w:color w:val="FF810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5"/>
                            <w:sz w:val="24"/>
                          </w:rPr>
                          <w:t>JR.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Al practically grew up at the courthouse, with a father who was Clerk of the Court, he spent his</w:t>
      </w:r>
      <w:r>
        <w:rPr>
          <w:color w:val="6E6158"/>
          <w:spacing w:val="40"/>
        </w:rPr>
        <w:t> </w:t>
      </w:r>
      <w:r>
        <w:rPr>
          <w:color w:val="6E6158"/>
        </w:rPr>
        <w:t>summers observing trials and studying courtroom strategy. Today, he’s known for successfully</w:t>
      </w:r>
      <w:r>
        <w:rPr>
          <w:color w:val="6E6158"/>
          <w:spacing w:val="40"/>
        </w:rPr>
        <w:t> </w:t>
      </w:r>
      <w:r>
        <w:rPr>
          <w:color w:val="6E6158"/>
        </w:rPr>
        <w:t>resolving</w:t>
      </w:r>
      <w:r>
        <w:rPr>
          <w:color w:val="6E6158"/>
          <w:spacing w:val="23"/>
        </w:rPr>
        <w:t> </w:t>
      </w:r>
      <w:r>
        <w:rPr>
          <w:color w:val="6E6158"/>
        </w:rPr>
        <w:t>complex</w:t>
      </w:r>
      <w:r>
        <w:rPr>
          <w:color w:val="6E6158"/>
          <w:spacing w:val="23"/>
        </w:rPr>
        <w:t> </w:t>
      </w:r>
      <w:r>
        <w:rPr>
          <w:color w:val="6E6158"/>
        </w:rPr>
        <w:t>real</w:t>
      </w:r>
      <w:r>
        <w:rPr>
          <w:color w:val="6E6158"/>
          <w:spacing w:val="23"/>
        </w:rPr>
        <w:t> </w:t>
      </w:r>
      <w:r>
        <w:rPr>
          <w:color w:val="6E6158"/>
        </w:rPr>
        <w:t>estate,</w:t>
      </w:r>
      <w:r>
        <w:rPr>
          <w:color w:val="6E6158"/>
          <w:spacing w:val="23"/>
        </w:rPr>
        <w:t> </w:t>
      </w:r>
      <w:r>
        <w:rPr>
          <w:color w:val="6E6158"/>
        </w:rPr>
        <w:t>commercial,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financial</w:t>
      </w:r>
      <w:r>
        <w:rPr>
          <w:color w:val="6E6158"/>
          <w:spacing w:val="23"/>
        </w:rPr>
        <w:t> </w:t>
      </w:r>
      <w:r>
        <w:rPr>
          <w:color w:val="6E6158"/>
        </w:rPr>
        <w:t>disputes.</w:t>
      </w:r>
      <w:r>
        <w:rPr>
          <w:color w:val="6E6158"/>
          <w:spacing w:val="23"/>
        </w:rPr>
        <w:t> </w:t>
      </w:r>
      <w:r>
        <w:rPr>
          <w:color w:val="6E6158"/>
        </w:rPr>
        <w:t>Highly</w:t>
      </w:r>
      <w:r>
        <w:rPr>
          <w:color w:val="6E6158"/>
          <w:spacing w:val="23"/>
        </w:rPr>
        <w:t> </w:t>
      </w:r>
      <w:r>
        <w:rPr>
          <w:color w:val="6E6158"/>
        </w:rPr>
        <w:t>skilled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all</w:t>
      </w:r>
      <w:r>
        <w:rPr>
          <w:color w:val="6E6158"/>
          <w:spacing w:val="23"/>
        </w:rPr>
        <w:t> </w:t>
      </w:r>
      <w:r>
        <w:rPr>
          <w:color w:val="6E6158"/>
        </w:rPr>
        <w:t>facets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</w:p>
    <w:p>
      <w:pPr>
        <w:pStyle w:val="BodyText"/>
        <w:spacing w:line="302" w:lineRule="auto"/>
        <w:ind w:left="99" w:right="250"/>
      </w:pPr>
      <w:r>
        <w:rPr>
          <w:color w:val="6E6158"/>
        </w:rPr>
        <w:t>litigation, including trials and appeals, Al is most proud when he can craft a solution before</w:t>
      </w:r>
      <w:r>
        <w:rPr>
          <w:color w:val="6E6158"/>
          <w:spacing w:val="40"/>
        </w:rPr>
        <w:t> </w:t>
      </w:r>
      <w:r>
        <w:rPr>
          <w:color w:val="6E6158"/>
        </w:rPr>
        <w:t>litigation starts.</w:t>
      </w:r>
    </w:p>
    <w:p>
      <w:pPr>
        <w:pStyle w:val="BodyText"/>
        <w:spacing w:line="292" w:lineRule="auto" w:before="182"/>
        <w:ind w:left="99" w:right="250"/>
      </w:pPr>
      <w:r>
        <w:rPr>
          <w:color w:val="6E6158"/>
        </w:rPr>
        <w:t>Al is experienced representing parties on all sides and in all stages of financial, real estate and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38"/>
        </w:rPr>
        <w:t> </w:t>
      </w:r>
      <w:r>
        <w:rPr>
          <w:color w:val="6E6158"/>
        </w:rPr>
        <w:t>disputes.</w:t>
      </w:r>
      <w:r>
        <w:rPr>
          <w:color w:val="6E6158"/>
          <w:spacing w:val="38"/>
        </w:rPr>
        <w:t> </w:t>
      </w:r>
      <w:r>
        <w:rPr>
          <w:color w:val="6E6158"/>
        </w:rPr>
        <w:t>He</w:t>
      </w:r>
      <w:r>
        <w:rPr>
          <w:color w:val="6E6158"/>
          <w:spacing w:val="38"/>
        </w:rPr>
        <w:t> </w:t>
      </w:r>
      <w:r>
        <w:rPr>
          <w:color w:val="6E6158"/>
        </w:rPr>
        <w:t>advises</w:t>
      </w:r>
      <w:r>
        <w:rPr>
          <w:color w:val="6E6158"/>
          <w:spacing w:val="38"/>
        </w:rPr>
        <w:t> </w:t>
      </w:r>
      <w:r>
        <w:rPr>
          <w:color w:val="6E6158"/>
        </w:rPr>
        <w:t>clients</w:t>
      </w:r>
      <w:r>
        <w:rPr>
          <w:color w:val="6E6158"/>
          <w:spacing w:val="38"/>
        </w:rPr>
        <w:t> </w:t>
      </w:r>
      <w:r>
        <w:rPr>
          <w:color w:val="6E6158"/>
        </w:rPr>
        <w:t>regarding</w:t>
      </w:r>
      <w:r>
        <w:rPr>
          <w:color w:val="6E6158"/>
          <w:spacing w:val="38"/>
        </w:rPr>
        <w:t> </w:t>
      </w:r>
      <w:r>
        <w:rPr>
          <w:color w:val="6E6158"/>
        </w:rPr>
        <w:t>problematic</w:t>
      </w:r>
      <w:r>
        <w:rPr>
          <w:color w:val="6E6158"/>
          <w:spacing w:val="38"/>
        </w:rPr>
        <w:t> </w:t>
      </w:r>
      <w:r>
        <w:rPr>
          <w:color w:val="6E6158"/>
        </w:rPr>
        <w:t>real</w:t>
      </w:r>
      <w:r>
        <w:rPr>
          <w:color w:val="6E6158"/>
          <w:spacing w:val="38"/>
        </w:rPr>
        <w:t> </w:t>
      </w:r>
      <w:r>
        <w:rPr>
          <w:color w:val="6E6158"/>
        </w:rPr>
        <w:t>estate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commercial</w:t>
      </w:r>
    </w:p>
    <w:p>
      <w:pPr>
        <w:pStyle w:val="BodyText"/>
        <w:spacing w:line="297" w:lineRule="auto" w:before="1"/>
        <w:ind w:left="99" w:right="250"/>
      </w:pPr>
      <w:r>
        <w:rPr>
          <w:color w:val="6E6158"/>
        </w:rPr>
        <w:t>transactions, investments, secured transactions, loan defaults, corporate and partnership</w:t>
      </w:r>
      <w:r>
        <w:rPr>
          <w:color w:val="6E6158"/>
          <w:spacing w:val="40"/>
        </w:rPr>
        <w:t> </w:t>
      </w:r>
      <w:r>
        <w:rPr>
          <w:color w:val="6E6158"/>
        </w:rPr>
        <w:t>governance and dissolutions, and insolvencies. His clients range from Fortune 50 companies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individuals,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developers,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owners,</w:t>
      </w:r>
      <w:r>
        <w:rPr>
          <w:color w:val="6E6158"/>
          <w:spacing w:val="40"/>
        </w:rPr>
        <w:t> </w:t>
      </w:r>
      <w:r>
        <w:rPr>
          <w:color w:val="6E6158"/>
        </w:rPr>
        <w:t>businesses,</w:t>
      </w:r>
      <w:r>
        <w:rPr>
          <w:color w:val="6E6158"/>
          <w:spacing w:val="40"/>
        </w:rPr>
        <w:t> </w:t>
      </w:r>
      <w:r>
        <w:rPr>
          <w:color w:val="6E6158"/>
        </w:rPr>
        <w:t>financial</w:t>
      </w:r>
      <w:r>
        <w:rPr>
          <w:color w:val="6E6158"/>
          <w:spacing w:val="40"/>
        </w:rPr>
        <w:t> </w:t>
      </w:r>
      <w:r>
        <w:rPr>
          <w:color w:val="6E6158"/>
        </w:rPr>
        <w:t>institutions,</w:t>
      </w:r>
      <w:r>
        <w:rPr>
          <w:color w:val="6E6158"/>
          <w:spacing w:val="40"/>
        </w:rPr>
        <w:t> </w:t>
      </w:r>
      <w:r>
        <w:rPr>
          <w:color w:val="6E6158"/>
        </w:rPr>
        <w:t>venture</w:t>
      </w:r>
    </w:p>
    <w:p>
      <w:pPr>
        <w:pStyle w:val="BodyText"/>
        <w:spacing w:line="292" w:lineRule="auto"/>
        <w:ind w:left="99" w:right="250"/>
      </w:pPr>
      <w:r>
        <w:rPr>
          <w:color w:val="6E6158"/>
        </w:rPr>
        <w:t>funds, investors, and fiduciaries. Al has substantial experience documenting esoteric </w:t>
      </w:r>
      <w:r>
        <w:rPr>
          <w:color w:val="6E6158"/>
        </w:rPr>
        <w:t>security</w:t>
      </w:r>
      <w:r>
        <w:rPr>
          <w:color w:val="6E6158"/>
          <w:spacing w:val="40"/>
        </w:rPr>
        <w:t> </w:t>
      </w:r>
      <w:r>
        <w:rPr>
          <w:color w:val="6E6158"/>
        </w:rPr>
        <w:t>interests under Article 9 as well as enforcing those interests.</w:t>
      </w:r>
    </w:p>
    <w:p>
      <w:pPr>
        <w:pStyle w:val="BodyText"/>
        <w:spacing w:line="292" w:lineRule="auto" w:before="201"/>
        <w:ind w:left="99" w:right="250"/>
      </w:pPr>
      <w:r>
        <w:rPr>
          <w:color w:val="6E6158"/>
        </w:rPr>
        <w:t>With broad experience in the real estate and finance markets, Al is skilled in the full cycle of a</w:t>
      </w:r>
      <w:r>
        <w:rPr>
          <w:color w:val="6E6158"/>
          <w:spacing w:val="40"/>
        </w:rPr>
        <w:t> </w:t>
      </w:r>
      <w:r>
        <w:rPr>
          <w:color w:val="6E6158"/>
        </w:rPr>
        <w:t>dispute,</w:t>
      </w:r>
      <w:r>
        <w:rPr>
          <w:color w:val="6E6158"/>
          <w:spacing w:val="31"/>
        </w:rPr>
        <w:t> </w:t>
      </w:r>
      <w:r>
        <w:rPr>
          <w:color w:val="6E6158"/>
        </w:rPr>
        <w:t>from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time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breach</w:t>
      </w:r>
      <w:r>
        <w:rPr>
          <w:color w:val="6E6158"/>
          <w:spacing w:val="31"/>
        </w:rPr>
        <w:t> </w:t>
      </w:r>
      <w:r>
        <w:rPr>
          <w:color w:val="6E6158"/>
        </w:rPr>
        <w:t>or</w:t>
      </w:r>
      <w:r>
        <w:rPr>
          <w:color w:val="6E6158"/>
          <w:spacing w:val="31"/>
        </w:rPr>
        <w:t> </w:t>
      </w:r>
      <w:r>
        <w:rPr>
          <w:color w:val="6E6158"/>
        </w:rPr>
        <w:t>default,</w:t>
      </w:r>
      <w:r>
        <w:rPr>
          <w:color w:val="6E6158"/>
          <w:spacing w:val="31"/>
        </w:rPr>
        <w:t> </w:t>
      </w:r>
      <w:r>
        <w:rPr>
          <w:color w:val="6E6158"/>
        </w:rPr>
        <w:t>through</w:t>
      </w:r>
      <w:r>
        <w:rPr>
          <w:color w:val="6E6158"/>
          <w:spacing w:val="31"/>
        </w:rPr>
        <w:t> </w:t>
      </w:r>
      <w:r>
        <w:rPr>
          <w:color w:val="6E6158"/>
        </w:rPr>
        <w:t>settlement,</w:t>
      </w:r>
      <w:r>
        <w:rPr>
          <w:color w:val="6E6158"/>
          <w:spacing w:val="31"/>
        </w:rPr>
        <w:t> </w:t>
      </w:r>
      <w:r>
        <w:rPr>
          <w:color w:val="6E6158"/>
        </w:rPr>
        <w:t>restructuring,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workout</w:t>
      </w:r>
    </w:p>
    <w:p>
      <w:pPr>
        <w:pStyle w:val="BodyText"/>
        <w:spacing w:line="297" w:lineRule="auto" w:before="1"/>
        <w:ind w:left="99" w:right="375"/>
      </w:pPr>
      <w:r>
        <w:rPr>
          <w:color w:val="6E6158"/>
        </w:rPr>
        <w:t>negotiations, to litigation and even bankruptcy. While many litigators have a sue-first </w:t>
      </w:r>
      <w:r>
        <w:rPr>
          <w:color w:val="6E6158"/>
        </w:rPr>
        <w:t>mentality,</w:t>
      </w:r>
      <w:r>
        <w:rPr>
          <w:color w:val="6E6158"/>
          <w:spacing w:val="80"/>
        </w:rPr>
        <w:t> </w:t>
      </w:r>
      <w:r>
        <w:rPr>
          <w:color w:val="6E6158"/>
        </w:rPr>
        <w:t>Al works closely with clients to develop creative and aggressive strategies to quickly achieve</w:t>
      </w:r>
      <w:r>
        <w:rPr>
          <w:color w:val="6E6158"/>
          <w:spacing w:val="80"/>
        </w:rPr>
        <w:t> </w:t>
      </w:r>
      <w:r>
        <w:rPr>
          <w:color w:val="6E6158"/>
        </w:rPr>
        <w:t>their business objectives while minimizing the costs and risks of litigation.</w:t>
      </w:r>
    </w:p>
    <w:p>
      <w:pPr>
        <w:pStyle w:val="BodyText"/>
        <w:spacing w:line="295" w:lineRule="auto" w:before="192"/>
        <w:ind w:left="99" w:right="375"/>
      </w:pPr>
      <w:r>
        <w:rPr>
          <w:color w:val="6E6158"/>
        </w:rPr>
        <w:t>Al counsels clients regarding deal terms and protections that help limit the risks and costs of</w:t>
      </w:r>
      <w:r>
        <w:rPr>
          <w:color w:val="6E6158"/>
          <w:spacing w:val="40"/>
        </w:rPr>
        <w:t> </w:t>
      </w:r>
      <w:r>
        <w:rPr>
          <w:color w:val="6E6158"/>
        </w:rPr>
        <w:t>future disputes. Al routinely advises clients and transactional counsel on deal structure and</w:t>
      </w:r>
      <w:r>
        <w:rPr>
          <w:color w:val="6E6158"/>
          <w:spacing w:val="40"/>
        </w:rPr>
        <w:t> </w:t>
      </w:r>
      <w:r>
        <w:rPr>
          <w:color w:val="6E6158"/>
        </w:rPr>
        <w:t>protections, as well as on the implementation of operational practices and procedures to</w:t>
      </w:r>
      <w:r>
        <w:rPr>
          <w:color w:val="6E6158"/>
          <w:spacing w:val="40"/>
        </w:rPr>
        <w:t> </w:t>
      </w:r>
      <w:r>
        <w:rPr>
          <w:color w:val="6E6158"/>
        </w:rPr>
        <w:t>prevent disputes or, at least, maximize a client’s rights and remedies if litigation becomes</w:t>
      </w:r>
    </w:p>
    <w:p>
      <w:pPr>
        <w:pStyle w:val="BodyText"/>
        <w:spacing w:before="1"/>
        <w:ind w:left="99"/>
      </w:pPr>
      <w:r>
        <w:rPr>
          <w:color w:val="6E6158"/>
        </w:rPr>
        <w:t>necessary.</w:t>
      </w:r>
      <w:r>
        <w:rPr>
          <w:color w:val="6E6158"/>
          <w:spacing w:val="13"/>
        </w:rPr>
        <w:t> </w:t>
      </w:r>
      <w:r>
        <w:rPr>
          <w:color w:val="6E6158"/>
        </w:rPr>
        <w:t>This</w:t>
      </w:r>
      <w:r>
        <w:rPr>
          <w:color w:val="6E6158"/>
          <w:spacing w:val="13"/>
        </w:rPr>
        <w:t> </w:t>
      </w:r>
      <w:r>
        <w:rPr>
          <w:color w:val="6E6158"/>
        </w:rPr>
        <w:t>advice</w:t>
      </w:r>
      <w:r>
        <w:rPr>
          <w:color w:val="6E6158"/>
          <w:spacing w:val="13"/>
        </w:rPr>
        <w:t> </w:t>
      </w:r>
      <w:r>
        <w:rPr>
          <w:color w:val="6E6158"/>
        </w:rPr>
        <w:t>includes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revision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deal</w:t>
      </w:r>
      <w:r>
        <w:rPr>
          <w:color w:val="6E6158"/>
          <w:spacing w:val="13"/>
        </w:rPr>
        <w:t> </w:t>
      </w:r>
      <w:r>
        <w:rPr>
          <w:color w:val="6E6158"/>
        </w:rPr>
        <w:t>documents,</w:t>
      </w:r>
      <w:r>
        <w:rPr>
          <w:color w:val="6E6158"/>
          <w:spacing w:val="13"/>
        </w:rPr>
        <w:t> </w:t>
      </w:r>
      <w:r>
        <w:rPr>
          <w:color w:val="6E6158"/>
        </w:rPr>
        <w:t>term</w:t>
      </w:r>
      <w:r>
        <w:rPr>
          <w:color w:val="6E6158"/>
          <w:spacing w:val="14"/>
        </w:rPr>
        <w:t> </w:t>
      </w:r>
      <w:r>
        <w:rPr>
          <w:color w:val="6E6158"/>
        </w:rPr>
        <w:t>sheets,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standard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250"/>
      </w:pPr>
      <w:r>
        <w:rPr>
          <w:color w:val="6E6158"/>
        </w:rPr>
        <w:t>contract forms, promissory notes, guarantees, operating agreements, invoices and </w:t>
      </w:r>
      <w:r>
        <w:rPr>
          <w:color w:val="6E6158"/>
        </w:rPr>
        <w:t>vendor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agreements.</w:t>
      </w:r>
    </w:p>
    <w:p>
      <w:pPr>
        <w:pStyle w:val="BodyText"/>
        <w:spacing w:line="292" w:lineRule="auto" w:before="205"/>
        <w:ind w:left="99" w:right="250"/>
      </w:pPr>
      <w:r>
        <w:rPr>
          <w:color w:val="6E6158"/>
        </w:rPr>
        <w:t>Strongly involved in his community, Al volunteers at the Oakland Unified School and </w:t>
      </w:r>
      <w:r>
        <w:rPr>
          <w:color w:val="6E6158"/>
        </w:rPr>
        <w:t>many organizations supporting the Oakland and greater East Bay communities.</w:t>
      </w:r>
    </w:p>
    <w:p>
      <w:pPr>
        <w:pStyle w:val="BodyText"/>
        <w:spacing w:line="295" w:lineRule="auto" w:before="196"/>
        <w:ind w:left="99" w:right="250"/>
      </w:pPr>
      <w:r>
        <w:rPr>
          <w:color w:val="6E6158"/>
        </w:rPr>
        <w:t>Probably the only lawyer with not one, but two, meat grinders in his office, Al comes from a long</w:t>
      </w:r>
      <w:r>
        <w:rPr>
          <w:color w:val="6E6158"/>
          <w:spacing w:val="40"/>
        </w:rPr>
        <w:t> </w:t>
      </w:r>
      <w:r>
        <w:rPr>
          <w:color w:val="6E6158"/>
        </w:rPr>
        <w:t>line of sausage makers. He enjoys making his dad’s recipes and creating his own, as well as</w:t>
      </w:r>
      <w:r>
        <w:rPr>
          <w:color w:val="6E6158"/>
          <w:spacing w:val="40"/>
        </w:rPr>
        <w:t> </w:t>
      </w:r>
      <w:r>
        <w:rPr>
          <w:color w:val="6E6158"/>
        </w:rPr>
        <w:t>teaching others to make sausage. Al is also a regular at the local CrossFit box. Above all else, he</w:t>
      </w:r>
      <w:r>
        <w:rPr>
          <w:color w:val="6E6158"/>
          <w:spacing w:val="40"/>
        </w:rPr>
        <w:t> </w:t>
      </w:r>
      <w:r>
        <w:rPr>
          <w:color w:val="6E6158"/>
        </w:rPr>
        <w:t>enjoys hanging out with his family.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1" w:right="2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157824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092pt;width:1.65pt;height:1.65pt;mso-position-horizontal-relative:page;mso-position-vertical-relative:paragraph;z-index:15729152" id="docshape16" coordorigin="1670,249" coordsize="33,33" path="m1691,281l1682,281,1678,280,1671,273,1670,269,1670,260,1671,256,1678,250,1682,249,1691,249,1694,250,1701,256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416189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0844pt;width:1.65pt;height:1.65pt;mso-position-horizontal-relative:page;mso-position-vertical-relative:paragraph;z-index:15729664" id="docshape17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the Pacific McGeorge School of Law, with </w:t>
      </w:r>
      <w:r>
        <w:rPr>
          <w:color w:val="6E6158"/>
        </w:rPr>
        <w:t>distinction</w:t>
      </w:r>
      <w:r>
        <w:rPr>
          <w:color w:val="6E6158"/>
        </w:rPr>
        <w:t> B.A., University of California, Berkeley</w:t>
      </w:r>
    </w:p>
    <w:p>
      <w:pPr>
        <w:pStyle w:val="BodyText"/>
        <w:spacing w:before="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63469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7622pt;width:1.65pt;height:1.65pt;mso-position-horizontal-relative:page;mso-position-vertical-relative:paragraph;z-index:15730176" id="docshape18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pStyle w:val="BodyText"/>
        <w:spacing w:before="41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BodyText"/>
        <w:spacing w:line="420" w:lineRule="auto"/>
        <w:ind w:left="351" w:right="6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59354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73605pt;width:1.65pt;height:1.65pt;mso-position-horizontal-relative:page;mso-position-vertical-relative:paragraph;z-index:15730688" id="docshape19" coordorigin="1670,93" coordsize="33,33" path="m1691,126l1682,126,1678,124,1671,118,1670,114,1670,105,1671,101,1678,95,1682,93,1691,93,1694,95,1701,101,1702,105,1702,110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322888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4316pt;width:1.65pt;height:1.65pt;mso-position-horizontal-relative:page;mso-position-vertical-relative:paragraph;z-index:15731200" id="docshape20" coordorigin="1670,508" coordsize="33,33" path="m1691,541l1682,541,1678,539,1671,533,1670,529,1670,520,1671,516,1678,510,1682,508,1691,508,1694,510,1701,516,1702,520,1702,525,1702,529,1701,533,1694,539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</w:t>
      </w:r>
      <w:r>
        <w:rPr>
          <w:color w:val="6E6158"/>
        </w:rPr>
        <w:t>Litigation Business Litigation</w:t>
      </w:r>
    </w:p>
    <w:p>
      <w:pPr>
        <w:pStyle w:val="Heading2"/>
        <w:spacing w:before="159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7" w:lineRule="auto" w:before="147"/>
        <w:ind w:left="351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431943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11269pt;width:1.65pt;height:1.65pt;mso-position-horizontal-relative:page;mso-position-vertical-relative:paragraph;z-index:15731712" id="docshape21" coordorigin="1670,680" coordsize="33,33" path="m1691,713l1682,713,1678,711,1671,705,1670,701,1670,692,1671,688,1678,682,1682,680,1691,680,1694,682,1701,688,1702,692,1702,697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Developer/Homebuilder Representation: </w:t>
      </w:r>
      <w:r>
        <w:rPr>
          <w:color w:val="6E6158"/>
        </w:rPr>
        <w:t>Represents national and regional developers and</w:t>
      </w:r>
      <w:r>
        <w:rPr>
          <w:color w:val="6E6158"/>
          <w:spacing w:val="40"/>
        </w:rPr>
        <w:t> </w:t>
      </w:r>
      <w:r>
        <w:rPr>
          <w:color w:val="6E6158"/>
        </w:rPr>
        <w:t>homebuilders in complex litigation, including disputes involving options, land acquisition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development,</w:t>
      </w:r>
      <w:r>
        <w:rPr>
          <w:color w:val="6E6158"/>
          <w:spacing w:val="38"/>
        </w:rPr>
        <w:t> </w:t>
      </w:r>
      <w:r>
        <w:rPr>
          <w:color w:val="6E6158"/>
        </w:rPr>
        <w:t>joint</w:t>
      </w:r>
      <w:r>
        <w:rPr>
          <w:color w:val="6E6158"/>
          <w:spacing w:val="38"/>
        </w:rPr>
        <w:t> </w:t>
      </w:r>
      <w:r>
        <w:rPr>
          <w:color w:val="6E6158"/>
        </w:rPr>
        <w:t>ventures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financing.</w:t>
      </w:r>
      <w:r>
        <w:rPr>
          <w:color w:val="6E6158"/>
          <w:spacing w:val="38"/>
        </w:rPr>
        <w:t> </w:t>
      </w:r>
      <w:r>
        <w:rPr>
          <w:color w:val="6E6158"/>
        </w:rPr>
        <w:t>Al</w:t>
      </w:r>
      <w:r>
        <w:rPr>
          <w:color w:val="6E6158"/>
          <w:spacing w:val="38"/>
        </w:rPr>
        <w:t> </w:t>
      </w:r>
      <w:r>
        <w:rPr>
          <w:color w:val="6E6158"/>
        </w:rPr>
        <w:t>also</w:t>
      </w:r>
      <w:r>
        <w:rPr>
          <w:color w:val="6E6158"/>
          <w:spacing w:val="38"/>
        </w:rPr>
        <w:t> </w:t>
      </w:r>
      <w:r>
        <w:rPr>
          <w:color w:val="6E6158"/>
        </w:rPr>
        <w:t>advises</w:t>
      </w:r>
      <w:r>
        <w:rPr>
          <w:color w:val="6E6158"/>
          <w:spacing w:val="38"/>
        </w:rPr>
        <w:t> </w:t>
      </w:r>
      <w:r>
        <w:rPr>
          <w:color w:val="6E6158"/>
        </w:rPr>
        <w:t>homebuilders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developers</w:t>
      </w:r>
    </w:p>
    <w:p>
      <w:pPr>
        <w:pStyle w:val="BodyText"/>
        <w:spacing w:line="229" w:lineRule="exact"/>
        <w:ind w:left="351"/>
      </w:pPr>
      <w:r>
        <w:rPr>
          <w:color w:val="6E6158"/>
        </w:rPr>
        <w:t>regarding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acquisition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lots</w:t>
      </w:r>
      <w:r>
        <w:rPr>
          <w:color w:val="6E6158"/>
          <w:spacing w:val="13"/>
        </w:rPr>
        <w:t> </w:t>
      </w:r>
      <w:r>
        <w:rPr>
          <w:color w:val="6E6158"/>
        </w:rPr>
        <w:t>from</w:t>
      </w:r>
      <w:r>
        <w:rPr>
          <w:color w:val="6E6158"/>
          <w:spacing w:val="13"/>
        </w:rPr>
        <w:t> </w:t>
      </w:r>
      <w:r>
        <w:rPr>
          <w:color w:val="6E6158"/>
        </w:rPr>
        <w:t>receivers,</w:t>
      </w:r>
      <w:r>
        <w:rPr>
          <w:color w:val="6E6158"/>
          <w:spacing w:val="13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estates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other</w:t>
      </w:r>
      <w:r>
        <w:rPr>
          <w:color w:val="6E6158"/>
          <w:spacing w:val="13"/>
        </w:rPr>
        <w:t> </w:t>
      </w:r>
      <w:r>
        <w:rPr>
          <w:color w:val="6E6158"/>
        </w:rPr>
        <w:t>distressed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sellers.</w:t>
      </w:r>
    </w:p>
    <w:p>
      <w:pPr>
        <w:spacing w:before="174"/>
        <w:ind w:left="351" w:right="0" w:firstLine="0"/>
        <w:jc w:val="left"/>
        <w:rPr>
          <w:sz w:val="19"/>
        </w:rPr>
      </w:pPr>
      <w:r>
        <w:rPr>
          <w:b/>
          <w:color w:val="6E6158"/>
          <w:sz w:val="19"/>
        </w:rPr>
        <w:t>Real</w:t>
      </w:r>
      <w:r>
        <w:rPr>
          <w:b/>
          <w:color w:val="6E6158"/>
          <w:spacing w:val="16"/>
          <w:sz w:val="19"/>
        </w:rPr>
        <w:t> </w:t>
      </w:r>
      <w:r>
        <w:rPr>
          <w:b/>
          <w:color w:val="6E6158"/>
          <w:sz w:val="19"/>
        </w:rPr>
        <w:t>Estate</w:t>
      </w:r>
      <w:r>
        <w:rPr>
          <w:b/>
          <w:color w:val="6E6158"/>
          <w:spacing w:val="16"/>
          <w:sz w:val="19"/>
        </w:rPr>
        <w:t> </w:t>
      </w:r>
      <w:r>
        <w:rPr>
          <w:b/>
          <w:color w:val="6E6158"/>
          <w:sz w:val="19"/>
        </w:rPr>
        <w:t>Finance/Secured</w:t>
      </w:r>
      <w:r>
        <w:rPr>
          <w:b/>
          <w:color w:val="6E6158"/>
          <w:spacing w:val="17"/>
          <w:sz w:val="19"/>
        </w:rPr>
        <w:t> </w:t>
      </w:r>
      <w:r>
        <w:rPr>
          <w:b/>
          <w:color w:val="6E6158"/>
          <w:sz w:val="19"/>
        </w:rPr>
        <w:t>Transactions:</w:t>
      </w:r>
      <w:r>
        <w:rPr>
          <w:b/>
          <w:color w:val="6E6158"/>
          <w:spacing w:val="16"/>
          <w:sz w:val="19"/>
        </w:rPr>
        <w:t> </w:t>
      </w:r>
      <w:r>
        <w:rPr>
          <w:color w:val="6E6158"/>
          <w:sz w:val="19"/>
        </w:rPr>
        <w:t>Al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counsels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borrowers,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from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individuals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5"/>
          <w:sz w:val="19"/>
        </w:rPr>
        <w:t>to</w:t>
      </w:r>
    </w:p>
    <w:p>
      <w:pPr>
        <w:pStyle w:val="BodyText"/>
        <w:spacing w:line="292" w:lineRule="auto" w:before="60"/>
        <w:ind w:left="351"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97610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85878pt;width:1.65pt;height:1.65pt;mso-position-horizontal-relative:page;mso-position-vertical-relative:paragraph;z-index:15732224" id="docshape22" coordorigin="1670,154" coordsize="33,33" path="m1691,186l1682,186,1678,185,1671,178,1670,174,1670,165,1671,162,1678,155,1682,154,1691,154,1694,155,1701,162,1702,165,1702,170,1702,174,1701,178,1694,185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developers, regarding disputes with banks over secured financing and their rights, protections</w:t>
      </w:r>
      <w:r>
        <w:rPr>
          <w:color w:val="6E6158"/>
          <w:spacing w:val="40"/>
        </w:rPr>
        <w:t> </w:t>
      </w:r>
      <w:r>
        <w:rPr>
          <w:color w:val="6E6158"/>
        </w:rPr>
        <w:t>and remedies under California’s secured lending laws.</w:t>
      </w:r>
    </w:p>
    <w:p>
      <w:pPr>
        <w:pStyle w:val="BodyText"/>
        <w:spacing w:line="297" w:lineRule="auto" w:before="123"/>
        <w:ind w:left="351" w:right="3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416827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21091pt;width:1.65pt;height:1.65pt;mso-position-horizontal-relative:page;mso-position-vertical-relative:paragraph;z-index:15732736" id="docshape23" coordorigin="1670,656" coordsize="33,33" path="m1691,689l1682,689,1678,687,1671,681,1670,677,1670,668,1671,664,1678,658,1682,656,1691,656,1694,658,1701,664,1702,668,1702,673,1702,677,1701,681,1694,687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Real Estate Purchase &amp; Sales/Broker Misrepresentation</w:t>
      </w:r>
      <w:r>
        <w:rPr>
          <w:color w:val="6E6158"/>
        </w:rPr>
        <w:t>: Successfully settled multi-party</w:t>
      </w:r>
      <w:r>
        <w:rPr>
          <w:color w:val="6E6158"/>
          <w:spacing w:val="40"/>
        </w:rPr>
        <w:t> </w:t>
      </w:r>
      <w:r>
        <w:rPr>
          <w:color w:val="6E6158"/>
        </w:rPr>
        <w:t>litigation concerning $30 million purchase of commercial buildings including claims of fraud,</w:t>
      </w:r>
      <w:r>
        <w:rPr>
          <w:color w:val="6E6158"/>
          <w:spacing w:val="40"/>
        </w:rPr>
        <w:t> </w:t>
      </w:r>
      <w:r>
        <w:rPr>
          <w:color w:val="6E6158"/>
        </w:rPr>
        <w:t>breach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lease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breach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fiduciary</w:t>
      </w:r>
      <w:r>
        <w:rPr>
          <w:color w:val="6E6158"/>
          <w:spacing w:val="29"/>
        </w:rPr>
        <w:t> </w:t>
      </w:r>
      <w:r>
        <w:rPr>
          <w:color w:val="6E6158"/>
        </w:rPr>
        <w:t>duty</w:t>
      </w:r>
      <w:r>
        <w:rPr>
          <w:color w:val="6E6158"/>
          <w:spacing w:val="29"/>
        </w:rPr>
        <w:t> </w:t>
      </w:r>
      <w:r>
        <w:rPr>
          <w:color w:val="6E6158"/>
        </w:rPr>
        <w:t>amongst</w:t>
      </w:r>
      <w:r>
        <w:rPr>
          <w:color w:val="6E6158"/>
          <w:spacing w:val="29"/>
        </w:rPr>
        <w:t> </w:t>
      </w:r>
      <w:r>
        <w:rPr>
          <w:color w:val="6E6158"/>
        </w:rPr>
        <w:t>buyers,</w:t>
      </w:r>
      <w:r>
        <w:rPr>
          <w:color w:val="6E6158"/>
          <w:spacing w:val="29"/>
        </w:rPr>
        <w:t> </w:t>
      </w:r>
      <w:r>
        <w:rPr>
          <w:color w:val="6E6158"/>
        </w:rPr>
        <w:t>sellers,</w:t>
      </w:r>
      <w:r>
        <w:rPr>
          <w:color w:val="6E6158"/>
          <w:spacing w:val="29"/>
        </w:rPr>
        <w:t> </w:t>
      </w:r>
      <w:r>
        <w:rPr>
          <w:color w:val="6E6158"/>
        </w:rPr>
        <w:t>borrowers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prior</w:t>
      </w:r>
    </w:p>
    <w:p>
      <w:pPr>
        <w:pStyle w:val="BodyText"/>
        <w:spacing w:line="229" w:lineRule="exact"/>
        <w:ind w:left="351"/>
      </w:pPr>
      <w:r>
        <w:rPr>
          <w:color w:val="6E6158"/>
          <w:spacing w:val="-2"/>
        </w:rPr>
        <w:t>owners.</w:t>
      </w:r>
    </w:p>
    <w:p>
      <w:pPr>
        <w:pStyle w:val="BodyText"/>
        <w:spacing w:line="292" w:lineRule="auto" w:before="174"/>
        <w:ind w:left="351"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449162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367119pt;width:1.65pt;height:1.65pt;mso-position-horizontal-relative:page;mso-position-vertical-relative:paragraph;z-index:15733248" id="docshape24" coordorigin="1670,707" coordsize="33,33" path="m1691,740l1682,740,1678,738,1671,732,1670,728,1670,719,1671,715,1678,709,1682,707,1691,707,1694,709,1701,715,1702,719,1702,724,1702,728,1701,732,1694,738,1691,7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Commercial Litigation: </w:t>
      </w:r>
      <w:r>
        <w:rPr>
          <w:color w:val="6E6158"/>
        </w:rPr>
        <w:t>Represented international manufacturer in action against </w:t>
      </w:r>
      <w:r>
        <w:rPr>
          <w:color w:val="6E6158"/>
        </w:rPr>
        <w:t>defaulting</w:t>
      </w:r>
      <w:r>
        <w:rPr>
          <w:color w:val="6E6158"/>
          <w:spacing w:val="40"/>
        </w:rPr>
        <w:t> </w:t>
      </w:r>
      <w:r>
        <w:rPr>
          <w:color w:val="6E6158"/>
        </w:rPr>
        <w:t>distributor</w:t>
      </w:r>
      <w:r>
        <w:rPr>
          <w:color w:val="6E6158"/>
          <w:spacing w:val="36"/>
        </w:rPr>
        <w:t> </w:t>
      </w:r>
      <w:r>
        <w:rPr>
          <w:color w:val="6E6158"/>
        </w:rPr>
        <w:t>with</w:t>
      </w:r>
      <w:r>
        <w:rPr>
          <w:color w:val="6E6158"/>
          <w:spacing w:val="36"/>
        </w:rPr>
        <w:t> </w:t>
      </w:r>
      <w:r>
        <w:rPr>
          <w:color w:val="6E6158"/>
        </w:rPr>
        <w:t>no</w:t>
      </w:r>
      <w:r>
        <w:rPr>
          <w:color w:val="6E6158"/>
          <w:spacing w:val="36"/>
        </w:rPr>
        <w:t> </w:t>
      </w:r>
      <w:r>
        <w:rPr>
          <w:color w:val="6E6158"/>
        </w:rPr>
        <w:t>apparent</w:t>
      </w:r>
      <w:r>
        <w:rPr>
          <w:color w:val="6E6158"/>
          <w:spacing w:val="36"/>
        </w:rPr>
        <w:t> </w:t>
      </w:r>
      <w:r>
        <w:rPr>
          <w:color w:val="6E6158"/>
        </w:rPr>
        <w:t>assets</w:t>
      </w:r>
      <w:r>
        <w:rPr>
          <w:color w:val="6E6158"/>
          <w:spacing w:val="36"/>
        </w:rPr>
        <w:t> </w:t>
      </w:r>
      <w:r>
        <w:rPr>
          <w:color w:val="6E6158"/>
        </w:rPr>
        <w:t>for</w:t>
      </w:r>
      <w:r>
        <w:rPr>
          <w:color w:val="6E6158"/>
          <w:spacing w:val="36"/>
        </w:rPr>
        <w:t> </w:t>
      </w:r>
      <w:r>
        <w:rPr>
          <w:color w:val="6E6158"/>
        </w:rPr>
        <w:t>repayment.</w:t>
      </w:r>
      <w:r>
        <w:rPr>
          <w:color w:val="6E6158"/>
          <w:spacing w:val="36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aggressive</w:t>
      </w:r>
      <w:r>
        <w:rPr>
          <w:color w:val="6E6158"/>
          <w:spacing w:val="36"/>
        </w:rPr>
        <w:t> </w:t>
      </w:r>
      <w:r>
        <w:rPr>
          <w:color w:val="6E6158"/>
        </w:rPr>
        <w:t>injunction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10"/>
        <w:ind w:left="351" w:right="250"/>
      </w:pPr>
      <w:r>
        <w:rPr>
          <w:color w:val="6E6158"/>
        </w:rPr>
        <w:t>attachment practice, was able to fully secure indebtedness against insurance </w:t>
      </w:r>
      <w:r>
        <w:rPr>
          <w:color w:val="6E6158"/>
        </w:rPr>
        <w:t>proceeds, resulting in full payment of principal obligations to client.</w:t>
      </w:r>
    </w:p>
    <w:p>
      <w:pPr>
        <w:pStyle w:val="BodyText"/>
        <w:spacing w:line="295" w:lineRule="auto" w:before="123"/>
        <w:ind w:left="351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416545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8824pt;width:1.65pt;height:1.65pt;mso-position-horizontal-relative:page;mso-position-vertical-relative:paragraph;z-index:15733760" id="docshape25" coordorigin="1670,656" coordsize="33,33" path="m1691,689l1682,689,1678,687,1671,681,1670,677,1670,668,1671,664,1678,658,1682,656,1691,656,1694,658,1701,664,1702,668,1702,672,1702,677,1701,681,1694,687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Financial Institution/ Secured Creditor: </w:t>
      </w:r>
      <w:r>
        <w:rPr>
          <w:color w:val="6E6158"/>
        </w:rPr>
        <w:t>Represented national bank with defective security</w:t>
      </w:r>
      <w:r>
        <w:rPr>
          <w:color w:val="6E6158"/>
          <w:spacing w:val="40"/>
        </w:rPr>
        <w:t> </w:t>
      </w:r>
      <w:r>
        <w:rPr>
          <w:color w:val="6E6158"/>
        </w:rPr>
        <w:t>interest in action against defaulting borrower. Through state and bankruptcy court litigation, obtained dismissal of Chapter 11 case and negotiated full repayment of all indebtedness,</w:t>
      </w:r>
      <w:r>
        <w:rPr>
          <w:color w:val="6E6158"/>
          <w:spacing w:val="40"/>
        </w:rPr>
        <w:t> </w:t>
      </w:r>
      <w:r>
        <w:rPr>
          <w:color w:val="6E6158"/>
        </w:rPr>
        <w:t>including attorneys’ fees.</w:t>
      </w:r>
    </w:p>
    <w:p>
      <w:pPr>
        <w:pStyle w:val="BodyText"/>
        <w:spacing w:line="297" w:lineRule="auto" w:before="123"/>
        <w:ind w:left="351" w:right="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323733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0858pt;width:1.65pt;height:1.65pt;mso-position-horizontal-relative:page;mso-position-vertical-relative:paragraph;z-index:15734272" id="docshape26" coordorigin="1670,510" coordsize="33,33" path="m1691,542l1682,542,1678,541,1671,534,1670,531,1670,522,1671,518,1678,511,1682,510,1691,510,1694,511,1701,518,1702,522,1702,526,1702,531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Corporate Dissolution: </w:t>
      </w:r>
      <w:r>
        <w:rPr>
          <w:color w:val="6E6158"/>
        </w:rPr>
        <w:t>Represented closely-held software company corporation in contentious dissolution that involved multi-layered litigation, numerous related entities </w:t>
      </w:r>
      <w:r>
        <w:rPr>
          <w:color w:val="6E6158"/>
        </w:rPr>
        <w:t>and protection of valuable intellectual property and real property assets.</w:t>
      </w:r>
    </w:p>
    <w:p>
      <w:pPr>
        <w:pStyle w:val="BodyText"/>
        <w:spacing w:after="0" w:line="297" w:lineRule="auto"/>
        <w:sectPr>
          <w:pgSz w:w="12240" w:h="15840"/>
          <w:pgMar w:top="500" w:bottom="280" w:left="1440" w:right="1440"/>
        </w:sectPr>
      </w:pPr>
    </w:p>
    <w:p>
      <w:pPr>
        <w:spacing w:line="292" w:lineRule="auto" w:before="83"/>
        <w:ind w:left="351" w:right="25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391470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0.824432pt;width:1.65pt;height:1.65pt;mso-position-horizontal-relative:page;mso-position-vertical-relative:paragraph;z-index:15734784" id="docshape27" coordorigin="1670,616" coordsize="33,33" path="m1691,649l1682,649,1678,647,1671,641,1670,637,1670,628,1671,624,1678,618,1682,616,1691,616,1694,618,1701,624,1702,628,1702,633,1702,637,1701,641,1694,647,1691,6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sz w:val="19"/>
        </w:rPr>
        <w:t>Venture Capital/Individual Investor: </w:t>
      </w:r>
      <w:r>
        <w:rPr>
          <w:color w:val="6E6158"/>
          <w:sz w:val="19"/>
        </w:rPr>
        <w:t>Negotiated withdrawal of investor and lender in a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contentious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dispute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closely-held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company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experiencing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financial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difficulties.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Under</w:t>
      </w:r>
    </w:p>
    <w:p>
      <w:pPr>
        <w:pStyle w:val="BodyText"/>
        <w:spacing w:line="292" w:lineRule="auto" w:before="10"/>
        <w:ind w:left="351" w:right="250"/>
      </w:pPr>
      <w:r>
        <w:rPr>
          <w:color w:val="6E6158"/>
        </w:rPr>
        <w:t>settlement, client was able to recover full return on investment and obtain future protections</w:t>
      </w:r>
      <w:r>
        <w:rPr>
          <w:color w:val="6E6158"/>
          <w:spacing w:val="40"/>
        </w:rPr>
        <w:t> </w:t>
      </w:r>
      <w:r>
        <w:rPr>
          <w:color w:val="6E6158"/>
        </w:rPr>
        <w:t>not available under previous loan documents.</w:t>
      </w:r>
    </w:p>
    <w:p>
      <w:pPr>
        <w:pStyle w:val="BodyText"/>
        <w:spacing w:line="295" w:lineRule="auto" w:before="123"/>
        <w:ind w:left="351"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416637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06129pt;width:1.65pt;height:1.65pt;mso-position-horizontal-relative:page;mso-position-vertical-relative:paragraph;z-index:15735296" id="docshape28" coordorigin="1670,656" coordsize="33,33" path="m1691,689l1682,689,1678,687,1671,681,1670,677,1670,668,1671,664,1678,658,1682,656,1691,656,1694,658,1701,664,1702,668,1702,672,1702,677,1701,681,1694,687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Real Estate Fraud: </w:t>
      </w:r>
      <w:r>
        <w:rPr>
          <w:color w:val="6E6158"/>
        </w:rPr>
        <w:t>Obtained defense judgment for national homebuilder in action for fraud</w:t>
      </w:r>
      <w:r>
        <w:rPr>
          <w:color w:val="6E6158"/>
          <w:spacing w:val="40"/>
        </w:rPr>
        <w:t> </w:t>
      </w:r>
      <w:r>
        <w:rPr>
          <w:color w:val="6E6158"/>
        </w:rPr>
        <w:t>and rescission in connection with sale of real estate. Successfully settled multi-party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involving alleged fraud by brokers and sellers in connection with the $20 Million sale of two</w:t>
      </w:r>
      <w:r>
        <w:rPr>
          <w:color w:val="6E6158"/>
          <w:spacing w:val="40"/>
        </w:rPr>
        <w:t> </w:t>
      </w:r>
      <w:r>
        <w:rPr>
          <w:color w:val="6E6158"/>
        </w:rPr>
        <w:t>commercial buildings.</w:t>
      </w:r>
    </w:p>
    <w:p>
      <w:pPr>
        <w:spacing w:before="123"/>
        <w:ind w:left="351" w:right="0" w:firstLine="0"/>
        <w:jc w:val="left"/>
        <w:rPr>
          <w:sz w:val="19"/>
        </w:rPr>
      </w:pPr>
      <w:r>
        <w:rPr>
          <w:b/>
          <w:color w:val="6E6158"/>
          <w:sz w:val="19"/>
        </w:rPr>
        <w:t>Writ</w:t>
      </w:r>
      <w:r>
        <w:rPr>
          <w:b/>
          <w:color w:val="6E6158"/>
          <w:spacing w:val="15"/>
          <w:sz w:val="19"/>
        </w:rPr>
        <w:t> </w:t>
      </w:r>
      <w:r>
        <w:rPr>
          <w:b/>
          <w:color w:val="6E6158"/>
          <w:sz w:val="19"/>
        </w:rPr>
        <w:t>of</w:t>
      </w:r>
      <w:r>
        <w:rPr>
          <w:b/>
          <w:color w:val="6E6158"/>
          <w:spacing w:val="16"/>
          <w:sz w:val="19"/>
        </w:rPr>
        <w:t> </w:t>
      </w:r>
      <w:r>
        <w:rPr>
          <w:b/>
          <w:color w:val="6E6158"/>
          <w:sz w:val="19"/>
        </w:rPr>
        <w:t>Attachment/Enforcement</w:t>
      </w:r>
      <w:r>
        <w:rPr>
          <w:b/>
          <w:color w:val="6E6158"/>
          <w:spacing w:val="16"/>
          <w:sz w:val="19"/>
        </w:rPr>
        <w:t> </w:t>
      </w:r>
      <w:r>
        <w:rPr>
          <w:b/>
          <w:color w:val="6E6158"/>
          <w:sz w:val="19"/>
        </w:rPr>
        <w:t>of</w:t>
      </w:r>
      <w:r>
        <w:rPr>
          <w:b/>
          <w:color w:val="6E6158"/>
          <w:spacing w:val="16"/>
          <w:sz w:val="19"/>
        </w:rPr>
        <w:t> </w:t>
      </w:r>
      <w:r>
        <w:rPr>
          <w:b/>
          <w:color w:val="6E6158"/>
          <w:sz w:val="19"/>
        </w:rPr>
        <w:t>Judgments:</w:t>
      </w:r>
      <w:r>
        <w:rPr>
          <w:b/>
          <w:color w:val="6E6158"/>
          <w:spacing w:val="14"/>
          <w:sz w:val="19"/>
        </w:rPr>
        <w:t> </w:t>
      </w:r>
      <w:r>
        <w:rPr>
          <w:color w:val="6E6158"/>
          <w:sz w:val="19"/>
        </w:rPr>
        <w:t>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has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substantial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experience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securing</w:t>
      </w:r>
    </w:p>
    <w:p>
      <w:pPr>
        <w:pStyle w:val="BodyText"/>
        <w:spacing w:line="302" w:lineRule="auto" w:before="52"/>
        <w:ind w:left="351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97795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700447pt;width:1.65pt;height:1.65pt;mso-position-horizontal-relative:page;mso-position-vertical-relative:paragraph;z-index:15735808" id="docshape29" coordorigin="1670,154" coordsize="33,33" path="m1691,187l1682,187,1678,185,1671,179,1670,175,1670,166,1671,162,1678,156,1682,154,1691,154,1694,156,1701,162,1702,166,1702,170,1702,175,1701,179,1694,185,1691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prejudgment liens and post-judgment levies against complicated and hard-to-reach </w:t>
      </w:r>
      <w:r>
        <w:rPr>
          <w:color w:val="6E6158"/>
        </w:rPr>
        <w:t>assets</w:t>
      </w:r>
      <w:r>
        <w:rPr>
          <w:color w:val="6E6158"/>
          <w:spacing w:val="40"/>
        </w:rPr>
        <w:t> </w:t>
      </w:r>
      <w:r>
        <w:rPr>
          <w:color w:val="6E6158"/>
        </w:rPr>
        <w:t>such as intellectual property, foreign property, LLC interests and intangible assets.</w:t>
      </w:r>
    </w:p>
    <w:p>
      <w:pPr>
        <w:pStyle w:val="BodyText"/>
        <w:spacing w:line="295" w:lineRule="auto" w:before="113"/>
        <w:ind w:left="351" w:right="4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498102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220654pt;width:1.65pt;height:1.65pt;mso-position-horizontal-relative:page;mso-position-vertical-relative:paragraph;z-index:15736320" id="docshape30" coordorigin="1670,784" coordsize="33,33" path="m1691,817l1682,817,1678,815,1671,809,1670,805,1670,796,1671,792,1678,786,1682,784,1691,784,1694,786,1701,792,1702,796,1702,801,1702,805,1701,809,1694,815,1691,8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Bankruptcy Acquisition/Sales: </w:t>
      </w:r>
      <w:r>
        <w:rPr>
          <w:color w:val="6E6158"/>
        </w:rPr>
        <w:t>Has represented venture funds in the acquisition of assets,</w:t>
      </w:r>
      <w:r>
        <w:rPr>
          <w:color w:val="6E6158"/>
          <w:spacing w:val="40"/>
        </w:rPr>
        <w:t> </w:t>
      </w:r>
      <w:r>
        <w:rPr>
          <w:color w:val="6E6158"/>
        </w:rPr>
        <w:t>including LP interests and intellectual property from some of the largest bankruptcy estates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receiverships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United</w:t>
      </w:r>
      <w:r>
        <w:rPr>
          <w:color w:val="6E6158"/>
          <w:spacing w:val="34"/>
        </w:rPr>
        <w:t> </w:t>
      </w:r>
      <w:r>
        <w:rPr>
          <w:color w:val="6E6158"/>
        </w:rPr>
        <w:t>States.</w:t>
      </w:r>
      <w:r>
        <w:rPr>
          <w:color w:val="6E6158"/>
          <w:spacing w:val="34"/>
        </w:rPr>
        <w:t> </w:t>
      </w:r>
      <w:r>
        <w:rPr>
          <w:color w:val="6E6158"/>
        </w:rPr>
        <w:t>Represented</w:t>
      </w:r>
      <w:r>
        <w:rPr>
          <w:color w:val="6E6158"/>
          <w:spacing w:val="34"/>
        </w:rPr>
        <w:t> </w:t>
      </w:r>
      <w:r>
        <w:rPr>
          <w:color w:val="6E6158"/>
        </w:rPr>
        <w:t>venture</w:t>
      </w:r>
      <w:r>
        <w:rPr>
          <w:color w:val="6E6158"/>
          <w:spacing w:val="34"/>
        </w:rPr>
        <w:t> </w:t>
      </w:r>
      <w:r>
        <w:rPr>
          <w:color w:val="6E6158"/>
        </w:rPr>
        <w:t>capital</w:t>
      </w:r>
      <w:r>
        <w:rPr>
          <w:color w:val="6E6158"/>
          <w:spacing w:val="34"/>
        </w:rPr>
        <w:t> </w:t>
      </w:r>
      <w:r>
        <w:rPr>
          <w:color w:val="6E6158"/>
        </w:rPr>
        <w:t>firm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debtor-in-possession lender in acquisition of substantially all assets of operating technology </w:t>
      </w:r>
      <w:r>
        <w:rPr>
          <w:color w:val="6E6158"/>
        </w:rPr>
        <w:t>company</w:t>
      </w:r>
      <w:r>
        <w:rPr>
          <w:color w:val="6E6158"/>
          <w:spacing w:val="40"/>
        </w:rPr>
        <w:t> </w:t>
      </w:r>
      <w:r>
        <w:rPr>
          <w:color w:val="6E6158"/>
        </w:rPr>
        <w:t>after auction sale before Bankruptcy Court</w:t>
      </w:r>
    </w:p>
    <w:p>
      <w:pPr>
        <w:pStyle w:val="Heading2"/>
        <w:spacing w:before="2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157671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5087pt;width:1.65pt;height:1.65pt;mso-position-horizontal-relative:page;mso-position-vertical-relative:paragraph;z-index:15736832" id="docshape3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AV®</w:t>
      </w:r>
      <w:r>
        <w:rPr>
          <w:color w:val="6E6158"/>
          <w:spacing w:val="12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2"/>
        </w:rPr>
        <w:t> </w:t>
      </w:r>
      <w:r>
        <w:rPr>
          <w:color w:val="6E6158"/>
        </w:rPr>
        <w:t>(the</w:t>
      </w:r>
      <w:r>
        <w:rPr>
          <w:color w:val="6E6158"/>
          <w:spacing w:val="13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245970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7762pt;width:1.65pt;height:1.65pt;mso-position-horizontal-relative:page;mso-position-vertical-relative:paragraph;z-index:15737344" id="docshape32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Speaker: “Don’t Fence Me In: Navigating Encroachment and View Obstruction </w:t>
      </w:r>
      <w:r>
        <w:rPr>
          <w:color w:val="6E6158"/>
        </w:rPr>
        <w:t>Disputes,”</w:t>
      </w:r>
      <w:r>
        <w:rPr>
          <w:color w:val="6E6158"/>
          <w:spacing w:val="40"/>
        </w:rPr>
        <w:t> </w:t>
      </w:r>
      <w:r>
        <w:rPr>
          <w:color w:val="6E6158"/>
        </w:rPr>
        <w:t>Wendel Rosen Webinar Series, February 23, 2021</w:t>
      </w:r>
    </w:p>
    <w:p>
      <w:pPr>
        <w:pStyle w:val="BodyText"/>
        <w:spacing w:line="302" w:lineRule="auto" w:before="123"/>
        <w:ind w:left="351" w:right="3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236075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8619pt;width:1.65pt;height:1.65pt;mso-position-horizontal-relative:page;mso-position-vertical-relative:paragraph;z-index:15737856" id="docshape33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Speaker: “Real Estate Law: Lessons Learned from the Pandemic and Predictions for </w:t>
      </w:r>
      <w:r>
        <w:rPr>
          <w:color w:val="6E6158"/>
        </w:rPr>
        <w:t>the Future,” Wendel Rosen Webinar Series, December 2, 2021</w:t>
      </w:r>
    </w:p>
    <w:p>
      <w:pPr>
        <w:pStyle w:val="BodyText"/>
        <w:spacing w:line="292" w:lineRule="auto" w:before="113"/>
        <w:ind w:left="351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224419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0834pt;width:1.65pt;height:1.65pt;mso-position-horizontal-relative:page;mso-position-vertical-relative:paragraph;z-index:15738368" id="docshape34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Speaker: “COVID-19: How Wendel Rosen’s Real Estate Litigation Group Can Assist,” Wendel Rosen Webinar Series, April 1, 2020</w:t>
      </w:r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143103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8016pt;width:1.65pt;height:1.65pt;mso-position-horizontal-relative:page;mso-position-vertical-relative:paragraph;z-index:15738880" id="docshape35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1"/>
        </w:rPr>
        <w:t> </w:t>
      </w:r>
      <w:r>
        <w:rPr>
          <w:color w:val="6E6158"/>
        </w:rPr>
        <w:t>“CRE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Update,”</w:t>
      </w:r>
      <w:r>
        <w:rPr>
          <w:color w:val="6E6158"/>
          <w:spacing w:val="12"/>
        </w:rPr>
        <w:t> </w:t>
      </w:r>
      <w:r>
        <w:rPr>
          <w:color w:val="6E6158"/>
        </w:rPr>
        <w:t>CCIM</w:t>
      </w:r>
      <w:r>
        <w:rPr>
          <w:color w:val="6E6158"/>
          <w:spacing w:val="12"/>
        </w:rPr>
        <w:t> </w:t>
      </w:r>
      <w:r>
        <w:rPr>
          <w:color w:val="6E6158"/>
        </w:rPr>
        <w:t>Institute</w:t>
      </w:r>
      <w:r>
        <w:rPr>
          <w:color w:val="6E6158"/>
          <w:spacing w:val="11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Chapter,</w:t>
      </w:r>
      <w:r>
        <w:rPr>
          <w:color w:val="6E6158"/>
          <w:spacing w:val="12"/>
        </w:rPr>
        <w:t> </w:t>
      </w:r>
      <w:r>
        <w:rPr>
          <w:color w:val="6E6158"/>
        </w:rPr>
        <w:t>September</w:t>
      </w:r>
      <w:r>
        <w:rPr>
          <w:color w:val="6E6158"/>
          <w:spacing w:val="12"/>
        </w:rPr>
        <w:t> </w:t>
      </w:r>
      <w:r>
        <w:rPr>
          <w:color w:val="6E6158"/>
        </w:rPr>
        <w:t>10,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152359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6847pt;width:1.65pt;height:1.65pt;mso-position-horizontal-relative:page;mso-position-vertical-relative:paragraph;z-index:15739392" id="docshape36" coordorigin="1670,240" coordsize="33,33" path="m1691,272l1682,272,1678,271,1671,265,1670,261,1670,252,1671,248,1678,242,1682,240,1691,240,1694,242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</w:t>
      </w:r>
      <w:r>
        <w:rPr>
          <w:color w:val="6E6158"/>
          <w:spacing w:val="11"/>
        </w:rPr>
        <w:t> </w:t>
      </w:r>
      <w:r>
        <w:rPr>
          <w:color w:val="6E6158"/>
        </w:rPr>
        <w:t>Mentor,</w:t>
      </w:r>
      <w:r>
        <w:rPr>
          <w:color w:val="6E6158"/>
          <w:spacing w:val="11"/>
        </w:rPr>
        <w:t> </w:t>
      </w:r>
      <w:r>
        <w:rPr>
          <w:color w:val="6E6158"/>
        </w:rPr>
        <w:t>Externship</w:t>
      </w:r>
      <w:r>
        <w:rPr>
          <w:color w:val="6E6158"/>
          <w:spacing w:val="12"/>
        </w:rPr>
        <w:t> </w:t>
      </w:r>
      <w:r>
        <w:rPr>
          <w:color w:val="6E6158"/>
        </w:rPr>
        <w:t>Program,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Alumni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74"/>
        <w:ind w:left="351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263102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6749pt;width:1.65pt;height:1.65pt;mso-position-horizontal-relative:page;mso-position-vertical-relative:paragraph;z-index:15739904" id="docshape37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 Clinical Attorney, Homeless Advocacy Project, Bar Association of San </w:t>
      </w:r>
      <w:r>
        <w:rPr>
          <w:color w:val="6E6158"/>
        </w:rPr>
        <w:t>Francisco </w:t>
      </w:r>
      <w:r>
        <w:rPr>
          <w:color w:val="6E6158"/>
          <w:spacing w:val="-2"/>
        </w:rPr>
        <w:t>(Former)</w:t>
      </w:r>
    </w:p>
    <w:p>
      <w:pPr>
        <w:pStyle w:val="BodyText"/>
        <w:spacing w:line="422" w:lineRule="auto" w:before="123"/>
        <w:ind w:left="351" w:right="2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143050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3787pt;width:1.65pt;height:1.65pt;mso-position-horizontal-relative:page;mso-position-vertical-relative:paragraph;z-index:15740416" id="docshape3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401415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7555pt;width:1.65pt;height:1.65pt;mso-position-horizontal-relative:page;mso-position-vertical-relative:paragraph;z-index:15740928" id="docshape39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664948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58124pt;width:1.65pt;height:1.65pt;mso-position-horizontal-relative:page;mso-position-vertical-relative:paragraph;z-index:15741440" id="docshape40" coordorigin="1670,1047" coordsize="33,33" path="m1691,1080l1682,1080,1678,1078,1671,1072,1670,1068,1670,1059,1671,1055,1678,1049,1682,1047,1691,1047,1694,1049,1701,1055,1702,1059,1702,1063,1702,1068,1701,1072,1694,1078,1691,10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 Clinical Attorney, Lawyers Committee for Civil Rights </w:t>
      </w:r>
      <w:r>
        <w:rPr>
          <w:color w:val="6E6158"/>
        </w:rPr>
        <w:t>(Former) Member,</w:t>
      </w:r>
      <w:r>
        <w:rPr>
          <w:color w:val="6E6158"/>
          <w:spacing w:val="34"/>
        </w:rPr>
        <w:t> </w:t>
      </w:r>
      <w:r>
        <w:rPr>
          <w:color w:val="6E6158"/>
        </w:rPr>
        <w:t>Board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Directors,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Volunteer</w:t>
      </w:r>
      <w:r>
        <w:rPr>
          <w:color w:val="6E6158"/>
          <w:spacing w:val="34"/>
        </w:rPr>
        <w:t> </w:t>
      </w:r>
      <w:r>
        <w:rPr>
          <w:color w:val="6E6158"/>
        </w:rPr>
        <w:t>Center</w:t>
      </w:r>
      <w:r>
        <w:rPr>
          <w:color w:val="6E6158"/>
          <w:spacing w:val="34"/>
        </w:rPr>
        <w:t> </w:t>
      </w:r>
      <w:r>
        <w:rPr>
          <w:color w:val="6E6158"/>
        </w:rPr>
        <w:t>(Past</w:t>
      </w:r>
      <w:r>
        <w:rPr>
          <w:color w:val="6E6158"/>
          <w:spacing w:val="34"/>
        </w:rPr>
        <w:t> </w:t>
      </w:r>
      <w:r>
        <w:rPr>
          <w:color w:val="6E6158"/>
        </w:rPr>
        <w:t>Member) Board President, The Lake School (Past Board President)</w:t>
      </w:r>
    </w:p>
    <w:p>
      <w:pPr>
        <w:pStyle w:val="Heading2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158088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7906pt;width:1.65pt;height:1.65pt;mso-position-horizontal-relative:page;mso-position-vertical-relative:paragraph;z-index:15741952" id="docshape41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175183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3944pt;width:1.65pt;height:1.65pt;mso-position-horizontal-relative:page;mso-position-vertical-relative:paragraph;z-index:15742464" id="docshape42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All</w:t>
      </w:r>
      <w:r>
        <w:rPr>
          <w:color w:val="6E6158"/>
          <w:spacing w:val="8"/>
        </w:rPr>
        <w:t> </w:t>
      </w:r>
      <w:r>
        <w:rPr>
          <w:color w:val="6E6158"/>
        </w:rPr>
        <w:t>Federal</w:t>
      </w:r>
      <w:r>
        <w:rPr>
          <w:color w:val="6E6158"/>
          <w:spacing w:val="8"/>
        </w:rPr>
        <w:t> </w:t>
      </w:r>
      <w:r>
        <w:rPr>
          <w:color w:val="6E6158"/>
        </w:rPr>
        <w:t>Courts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aflo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Flor Jr. - Fennemore</dc:title>
  <dcterms:created xsi:type="dcterms:W3CDTF">2026-05-07T16:19:07Z</dcterms:created>
  <dcterms:modified xsi:type="dcterms:W3CDTF">2026-05-07T16:19:07Z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2026-05-07T00:00:00Z</vt:filetime>
  </property>
  <property fmtid="{D5CDD505-2E9C-101B-9397-08002B2CF9AE}" pid="6" name="Producer">
    <vt:lpwstr>Skia/PDF m146</vt:lpwstr>
  </property>
</Properties>
</file>