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drew Flynn 0449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8603" y="1369338"/>
                            <a:ext cx="20929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320675">
                                <a:moveTo>
                                  <a:pt x="20927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2756" y="320382"/>
                                </a:lnTo>
                                <a:lnTo>
                                  <a:pt x="2092756" y="315214"/>
                                </a:lnTo>
                                <a:close/>
                              </a:path>
                              <a:path w="2092960" h="320675">
                                <a:moveTo>
                                  <a:pt x="2092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2756" y="5168"/>
                                </a:lnTo>
                                <a:lnTo>
                                  <a:pt x="209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ANDREW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FLYNN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20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aflynn@fennemorelaw.com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ndrew Flynn 0449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25;top:2156;width:3296;height:505" id="docshape5" coordorigin="5525,2156" coordsize="3296,505" path="m8821,2653l5525,2653,5525,2661,8821,2661,8821,2653xm8821,2156l5525,2156,5525,2165,8821,2165,882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ANDREW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FLYNN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820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aflynn@fennemorelaw.com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ANDREW</w:t>
      </w:r>
      <w:r>
        <w:rPr>
          <w:color w:val="FF8100"/>
          <w:spacing w:val="6"/>
        </w:rPr>
        <w:t> </w:t>
      </w:r>
      <w:r>
        <w:rPr>
          <w:color w:val="FF8100"/>
        </w:rPr>
        <w:t>T.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FLYNN</w:t>
      </w:r>
    </w:p>
    <w:p>
      <w:pPr>
        <w:pStyle w:val="BodyText"/>
        <w:spacing w:line="297" w:lineRule="auto" w:before="147"/>
        <w:ind w:left="99" w:right="954"/>
      </w:pPr>
      <w:r>
        <w:rPr>
          <w:color w:val="6E6158"/>
        </w:rPr>
        <w:t>Andrew Flynn is a Director in Fennemore’s Business Litigation practice, where he represents</w:t>
      </w:r>
      <w:r>
        <w:rPr>
          <w:color w:val="6E6158"/>
          <w:spacing w:val="40"/>
        </w:rPr>
        <w:t> </w:t>
      </w:r>
      <w:r>
        <w:rPr>
          <w:color w:val="6E6158"/>
        </w:rPr>
        <w:t>companies, investors, executives, and business owners in complex, high-stakes disputes. His</w:t>
      </w:r>
      <w:r>
        <w:rPr>
          <w:color w:val="6E6158"/>
          <w:spacing w:val="40"/>
        </w:rPr>
        <w:t> </w:t>
      </w:r>
      <w:r>
        <w:rPr>
          <w:color w:val="6E6158"/>
        </w:rPr>
        <w:t>practice focuses on business and fiduciary litigation, including partnership and LLC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fraud and securities litigation, real estate and title disputes, insurance recovery, and other</w:t>
      </w:r>
      <w:r>
        <w:rPr>
          <w:color w:val="6E6158"/>
          <w:spacing w:val="40"/>
        </w:rPr>
        <w:t> </w:t>
      </w:r>
      <w:r>
        <w:rPr>
          <w:color w:val="6E6158"/>
        </w:rPr>
        <w:t>business-critical matters.</w:t>
      </w:r>
    </w:p>
    <w:p>
      <w:pPr>
        <w:pStyle w:val="BodyText"/>
        <w:spacing w:before="191"/>
        <w:ind w:left="99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seasoned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lawyer,</w:t>
      </w:r>
      <w:r>
        <w:rPr>
          <w:color w:val="6E6158"/>
          <w:spacing w:val="9"/>
        </w:rPr>
        <w:t> </w:t>
      </w:r>
      <w:r>
        <w:rPr>
          <w:color w:val="6E6158"/>
        </w:rPr>
        <w:t>Andrew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tried</w:t>
      </w:r>
      <w:r>
        <w:rPr>
          <w:color w:val="6E6158"/>
          <w:spacing w:val="9"/>
        </w:rPr>
        <w:t> </w:t>
      </w:r>
      <w:r>
        <w:rPr>
          <w:color w:val="6E6158"/>
        </w:rPr>
        <w:t>numerous</w:t>
      </w:r>
      <w:r>
        <w:rPr>
          <w:color w:val="6E6158"/>
          <w:spacing w:val="9"/>
        </w:rPr>
        <w:t> </w:t>
      </w:r>
      <w:r>
        <w:rPr>
          <w:color w:val="6E6158"/>
        </w:rPr>
        <w:t>jury</w:t>
      </w:r>
      <w:r>
        <w:rPr>
          <w:color w:val="6E6158"/>
          <w:spacing w:val="10"/>
        </w:rPr>
        <w:t> </w:t>
      </w:r>
      <w:r>
        <w:rPr>
          <w:color w:val="6E6158"/>
        </w:rPr>
        <w:t>trials,</w:t>
      </w:r>
      <w:r>
        <w:rPr>
          <w:color w:val="6E6158"/>
          <w:spacing w:val="9"/>
        </w:rPr>
        <w:t> </w:t>
      </w:r>
      <w:r>
        <w:rPr>
          <w:color w:val="6E6158"/>
        </w:rPr>
        <w:t>bench</w:t>
      </w:r>
      <w:r>
        <w:rPr>
          <w:color w:val="6E6158"/>
          <w:spacing w:val="10"/>
        </w:rPr>
        <w:t> </w:t>
      </w:r>
      <w:r>
        <w:rPr>
          <w:color w:val="6E6158"/>
        </w:rPr>
        <w:t>trials,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arbitrations</w:t>
      </w:r>
    </w:p>
    <w:p>
      <w:pPr>
        <w:pStyle w:val="BodyText"/>
        <w:spacing w:line="295" w:lineRule="auto" w:before="52"/>
        <w:ind w:left="99" w:right="561"/>
      </w:pPr>
      <w:r>
        <w:rPr>
          <w:color w:val="6E6158"/>
        </w:rPr>
        <w:t>throughout Colorado and has represented clients in courts and proceedings across the country,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New</w:t>
      </w:r>
      <w:r>
        <w:rPr>
          <w:color w:val="6E6158"/>
          <w:spacing w:val="31"/>
        </w:rPr>
        <w:t> </w:t>
      </w:r>
      <w:r>
        <w:rPr>
          <w:color w:val="6E6158"/>
        </w:rPr>
        <w:t>York,</w:t>
      </w:r>
      <w:r>
        <w:rPr>
          <w:color w:val="6E6158"/>
          <w:spacing w:val="31"/>
        </w:rPr>
        <w:t> </w:t>
      </w:r>
      <w:r>
        <w:rPr>
          <w:color w:val="6E6158"/>
        </w:rPr>
        <w:t>Texas,</w:t>
      </w:r>
      <w:r>
        <w:rPr>
          <w:color w:val="6E6158"/>
          <w:spacing w:val="31"/>
        </w:rPr>
        <w:t> </w:t>
      </w:r>
      <w:r>
        <w:rPr>
          <w:color w:val="6E6158"/>
        </w:rPr>
        <w:t>California,</w:t>
      </w:r>
      <w:r>
        <w:rPr>
          <w:color w:val="6E6158"/>
          <w:spacing w:val="31"/>
        </w:rPr>
        <w:t> </w:t>
      </w:r>
      <w:r>
        <w:rPr>
          <w:color w:val="6E6158"/>
        </w:rPr>
        <w:t>North</w:t>
      </w:r>
      <w:r>
        <w:rPr>
          <w:color w:val="6E6158"/>
          <w:spacing w:val="31"/>
        </w:rPr>
        <w:t> </w:t>
      </w:r>
      <w:r>
        <w:rPr>
          <w:color w:val="6E6158"/>
        </w:rPr>
        <w:t>Carolina,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Pennsylvania.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regularly advocates for clients in state and federal courts, arbitration proceedings, and bankruptcy</w:t>
      </w:r>
      <w:r>
        <w:rPr>
          <w:color w:val="6E6158"/>
          <w:spacing w:val="40"/>
        </w:rPr>
        <w:t> </w:t>
      </w:r>
      <w:r>
        <w:rPr>
          <w:color w:val="6E6158"/>
        </w:rPr>
        <w:t>adversary litigation.</w:t>
      </w:r>
    </w:p>
    <w:p>
      <w:pPr>
        <w:pStyle w:val="BodyText"/>
        <w:spacing w:line="295" w:lineRule="auto" w:before="196"/>
        <w:ind w:left="99" w:right="561"/>
      </w:pPr>
      <w:r>
        <w:rPr>
          <w:color w:val="6E6158"/>
        </w:rPr>
        <w:t>Andrew is particularly experienced in disputes involving complicated factual records, financial</w:t>
      </w:r>
      <w:r>
        <w:rPr>
          <w:color w:val="6E6158"/>
          <w:spacing w:val="40"/>
        </w:rPr>
        <w:t> </w:t>
      </w:r>
      <w:r>
        <w:rPr>
          <w:color w:val="6E6158"/>
        </w:rPr>
        <w:t>misconduct allegations, and business relationship breakdowns. He is known for distilling complex</w:t>
      </w:r>
      <w:r>
        <w:rPr>
          <w:color w:val="6E6158"/>
          <w:spacing w:val="40"/>
        </w:rPr>
        <w:t> </w:t>
      </w:r>
      <w:r>
        <w:rPr>
          <w:color w:val="6E6158"/>
        </w:rPr>
        <w:t>cases into clear, persuasive narratives and for guiding clients through high-pressure litigation </w:t>
      </w:r>
      <w:r>
        <w:rPr>
          <w:color w:val="6E6158"/>
        </w:rPr>
        <w:t>with strategic focus and practical judgment.</w:t>
      </w:r>
    </w:p>
    <w:p>
      <w:pPr>
        <w:pStyle w:val="BodyText"/>
        <w:spacing w:line="295" w:lineRule="auto" w:before="197"/>
        <w:ind w:left="99" w:right="561"/>
      </w:pPr>
      <w:r>
        <w:rPr>
          <w:color w:val="6E6158"/>
        </w:rPr>
        <w:t>Among other matters, Andrew recently served as trial counsel in a high-stakes securities fraud</w:t>
      </w:r>
      <w:r>
        <w:rPr>
          <w:color w:val="6E6158"/>
          <w:spacing w:val="40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involving</w:t>
      </w:r>
      <w:r>
        <w:rPr>
          <w:color w:val="6E6158"/>
          <w:spacing w:val="29"/>
        </w:rPr>
        <w:t> </w:t>
      </w:r>
      <w:r>
        <w:rPr>
          <w:color w:val="6E6158"/>
        </w:rPr>
        <w:t>more</w:t>
      </w:r>
      <w:r>
        <w:rPr>
          <w:color w:val="6E6158"/>
          <w:spacing w:val="29"/>
        </w:rPr>
        <w:t> </w:t>
      </w:r>
      <w:r>
        <w:rPr>
          <w:color w:val="6E6158"/>
        </w:rPr>
        <w:t>than</w:t>
      </w:r>
      <w:r>
        <w:rPr>
          <w:color w:val="6E6158"/>
          <w:spacing w:val="29"/>
        </w:rPr>
        <w:t> </w:t>
      </w:r>
      <w:r>
        <w:rPr>
          <w:color w:val="6E6158"/>
        </w:rPr>
        <w:t>$20</w:t>
      </w:r>
      <w:r>
        <w:rPr>
          <w:color w:val="6E6158"/>
          <w:spacing w:val="29"/>
        </w:rPr>
        <w:t> </w:t>
      </w:r>
      <w:r>
        <w:rPr>
          <w:color w:val="6E6158"/>
        </w:rPr>
        <w:t>million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alleged</w:t>
      </w:r>
      <w:r>
        <w:rPr>
          <w:color w:val="6E6158"/>
          <w:spacing w:val="29"/>
        </w:rPr>
        <w:t> </w:t>
      </w:r>
      <w:r>
        <w:rPr>
          <w:color w:val="6E6158"/>
        </w:rPr>
        <w:t>damages.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represented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national property developer in litigation arising from a multi-million dollar real estate transaction, </w:t>
      </w:r>
      <w:r>
        <w:rPr>
          <w:color w:val="6E6158"/>
        </w:rPr>
        <w:t>securing</w:t>
      </w:r>
      <w:r>
        <w:rPr>
          <w:color w:val="6E6158"/>
          <w:spacing w:val="40"/>
        </w:rPr>
        <w:t> </w:t>
      </w:r>
      <w:r>
        <w:rPr>
          <w:color w:val="6E6158"/>
        </w:rPr>
        <w:t>specific</w:t>
      </w:r>
      <w:r>
        <w:rPr>
          <w:color w:val="6E6158"/>
          <w:spacing w:val="37"/>
        </w:rPr>
        <w:t> </w:t>
      </w:r>
      <w:r>
        <w:rPr>
          <w:color w:val="6E6158"/>
        </w:rPr>
        <w:t>performance</w:t>
      </w:r>
      <w:r>
        <w:rPr>
          <w:color w:val="6E6158"/>
          <w:spacing w:val="37"/>
        </w:rPr>
        <w:t> </w:t>
      </w:r>
      <w:r>
        <w:rPr>
          <w:color w:val="6E6158"/>
        </w:rPr>
        <w:t>after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five-day</w:t>
      </w:r>
      <w:r>
        <w:rPr>
          <w:color w:val="6E6158"/>
          <w:spacing w:val="37"/>
        </w:rPr>
        <w:t> </w:t>
      </w:r>
      <w:r>
        <w:rPr>
          <w:color w:val="6E6158"/>
        </w:rPr>
        <w:t>bench</w:t>
      </w:r>
      <w:r>
        <w:rPr>
          <w:color w:val="6E6158"/>
          <w:spacing w:val="37"/>
        </w:rPr>
        <w:t> </w:t>
      </w:r>
      <w:r>
        <w:rPr>
          <w:color w:val="6E6158"/>
        </w:rPr>
        <w:t>trial</w:t>
      </w:r>
      <w:r>
        <w:rPr>
          <w:color w:val="6E6158"/>
          <w:spacing w:val="37"/>
        </w:rPr>
        <w:t> </w:t>
      </w:r>
      <w:r>
        <w:rPr>
          <w:color w:val="6E6158"/>
        </w:rPr>
        <w:t>involving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valuable</w:t>
      </w:r>
      <w:r>
        <w:rPr>
          <w:color w:val="6E6158"/>
          <w:spacing w:val="37"/>
        </w:rPr>
        <w:t> </w:t>
      </w:r>
      <w:r>
        <w:rPr>
          <w:color w:val="6E6158"/>
        </w:rPr>
        <w:t>development</w:t>
      </w:r>
      <w:r>
        <w:rPr>
          <w:color w:val="6E6158"/>
          <w:spacing w:val="37"/>
        </w:rPr>
        <w:t> </w:t>
      </w:r>
      <w:r>
        <w:rPr>
          <w:color w:val="6E6158"/>
        </w:rPr>
        <w:t>property.</w:t>
      </w:r>
    </w:p>
    <w:p>
      <w:pPr>
        <w:pStyle w:val="BodyText"/>
        <w:spacing w:line="295" w:lineRule="auto" w:before="197"/>
        <w:ind w:left="99" w:right="561"/>
      </w:pPr>
      <w:r>
        <w:rPr>
          <w:color w:val="6E6158"/>
        </w:rPr>
        <w:t>Andrew has also represented an international automotive and trucking company in multiple</w:t>
      </w:r>
      <w:r>
        <w:rPr>
          <w:color w:val="6E6158"/>
          <w:spacing w:val="40"/>
        </w:rPr>
        <w:t> </w:t>
      </w:r>
      <w:r>
        <w:rPr>
          <w:color w:val="6E6158"/>
        </w:rPr>
        <w:t>lawsuits stemming from a sophisticated embezzlement scheme. The matter involved parallel</w:t>
      </w:r>
      <w:r>
        <w:rPr>
          <w:color w:val="6E6158"/>
          <w:spacing w:val="40"/>
        </w:rPr>
        <w:t> </w:t>
      </w:r>
      <w:r>
        <w:rPr>
          <w:color w:val="6E6158"/>
        </w:rPr>
        <w:t>federal and state court litigation, as well as a bankruptcy adversary proceeding, and resulted in</w:t>
      </w:r>
      <w:r>
        <w:rPr>
          <w:color w:val="6E6158"/>
          <w:spacing w:val="40"/>
        </w:rPr>
        <w:t> </w:t>
      </w:r>
      <w:r>
        <w:rPr>
          <w:color w:val="6E6158"/>
        </w:rPr>
        <w:t>the recovery of millions of dollars for the client.</w:t>
      </w:r>
    </w:p>
    <w:p>
      <w:pPr>
        <w:pStyle w:val="BodyText"/>
        <w:spacing w:line="295" w:lineRule="auto" w:before="196"/>
        <w:ind w:left="99" w:right="954"/>
      </w:pPr>
      <w:r>
        <w:rPr>
          <w:color w:val="6E6158"/>
        </w:rPr>
        <w:t>Before focusing on business litigation, Andrew represented insurance companies and policyholders in a broad range of coverage disputes and complex claims. He now leverages</w:t>
      </w:r>
      <w:r>
        <w:rPr>
          <w:color w:val="6E6158"/>
          <w:spacing w:val="40"/>
        </w:rPr>
        <w:t> </w:t>
      </w:r>
      <w:r>
        <w:rPr>
          <w:color w:val="6E6158"/>
        </w:rPr>
        <w:t>that experience to advise corporate policyholders on insurance recovery strategy, </w:t>
      </w:r>
      <w:r>
        <w:rPr>
          <w:color w:val="6E6158"/>
        </w:rPr>
        <w:t>coverage</w:t>
      </w:r>
      <w:r>
        <w:rPr>
          <w:color w:val="6E6158"/>
          <w:spacing w:val="40"/>
        </w:rPr>
        <w:t> </w:t>
      </w:r>
      <w:r>
        <w:rPr>
          <w:color w:val="6E6158"/>
        </w:rPr>
        <w:t>analysis, and bad faith claims.</w:t>
      </w:r>
    </w:p>
    <w:p>
      <w:pPr>
        <w:pStyle w:val="BodyText"/>
        <w:spacing w:line="297" w:lineRule="auto" w:before="197"/>
        <w:ind w:left="99" w:right="954"/>
      </w:pPr>
      <w:r>
        <w:rPr>
          <w:color w:val="6E6158"/>
        </w:rPr>
        <w:t>In addition to his litigation practice, Andrew has experience handling corporate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representing a minority shareholder in the stock redemption of a national food</w:t>
      </w:r>
      <w:r>
        <w:rPr>
          <w:color w:val="6E6158"/>
          <w:spacing w:val="40"/>
        </w:rPr>
        <w:t> </w:t>
      </w:r>
      <w:r>
        <w:rPr>
          <w:color w:val="6E6158"/>
        </w:rPr>
        <w:t>distribution company.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64587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5667pt;width:1.65pt;height:1.65pt;mso-position-horizontal-relative:page;mso-position-vertical-relative:paragraph;z-index:15729152" id="docshape7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175027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71pt;width:1.65pt;height:1.65pt;mso-position-horizontal-relative:page;mso-position-vertical-relative:paragraph;z-index:15729664" id="docshape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Nebraska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59847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2436pt;width:1.65pt;height:1.65pt;mso-position-horizontal-relative:page;mso-position-vertical-relative:paragraph;z-index:15730176" id="docshape9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152613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836pt;width:1.65pt;height:1.65pt;mso-position-horizontal-relative:page;mso-position-vertical-relative:paragraph;z-index:15730688" id="docshape1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Won a full defense verdict in an employment dispute after a four day jury trial in United States</w:t>
      </w:r>
      <w:r>
        <w:rPr>
          <w:color w:val="6E6158"/>
          <w:spacing w:val="40"/>
        </w:rPr>
        <w:t> </w:t>
      </w:r>
      <w:r>
        <w:rPr>
          <w:color w:val="6E6158"/>
        </w:rPr>
        <w:t>District Court.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236063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715pt;width:1.65pt;height:1.65pt;mso-position-horizontal-relative:page;mso-position-vertical-relative:paragraph;z-index:15731200" id="docshape1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against a preliminary injunction sought by government agency to </w:t>
      </w:r>
      <w:r>
        <w:rPr>
          <w:color w:val="6E6158"/>
        </w:rPr>
        <w:t>halt</w:t>
      </w:r>
      <w:r>
        <w:rPr>
          <w:color w:val="6E6158"/>
          <w:spacing w:val="40"/>
        </w:rPr>
        <w:t> </w:t>
      </w:r>
      <w:r>
        <w:rPr>
          <w:color w:val="6E6158"/>
        </w:rPr>
        <w:t>development of a business park.</w:t>
      </w:r>
    </w:p>
    <w:p>
      <w:pPr>
        <w:pStyle w:val="BodyText"/>
        <w:spacing w:line="292" w:lineRule="auto" w:before="123"/>
        <w:ind w:right="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230525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628pt;width:1.65pt;height:1.65pt;mso-position-horizontal-relative:page;mso-position-vertical-relative:paragraph;z-index:15731712" id="docshape1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Tried and won an adversary proceeding in United States bankruptcy court for a four million</w:t>
      </w:r>
      <w:r>
        <w:rPr>
          <w:color w:val="6E6158"/>
          <w:spacing w:val="40"/>
        </w:rPr>
        <w:t> </w:t>
      </w:r>
      <w:r>
        <w:rPr>
          <w:color w:val="6E6158"/>
        </w:rPr>
        <w:t>dollar non-dischargeable judgement and award of attorney fees.</w:t>
      </w:r>
    </w:p>
    <w:p>
      <w:pPr>
        <w:pStyle w:val="BodyText"/>
        <w:spacing w:line="292" w:lineRule="auto" w:before="131"/>
        <w:ind w:right="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235870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504pt;width:1.65pt;height:1.65pt;mso-position-horizontal-relative:page;mso-position-vertical-relative:paragraph;z-index:15732224" id="docshape1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Tried and won a five-day court trial for specific performance of a multi-million dollar real</w:t>
      </w:r>
      <w:r>
        <w:rPr>
          <w:color w:val="6E6158"/>
          <w:spacing w:val="40"/>
        </w:rPr>
        <w:t> </w:t>
      </w:r>
      <w:r>
        <w:rPr>
          <w:color w:val="6E6158"/>
        </w:rPr>
        <w:t>estate contract.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143123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604pt;width:1.65pt;height:1.65pt;mso-position-horizontal-relative:page;mso-position-vertical-relative:paragraph;z-index:15732736" id="docshape1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First</w:t>
      </w:r>
      <w:r>
        <w:rPr>
          <w:color w:val="6E6158"/>
          <w:spacing w:val="10"/>
        </w:rPr>
        <w:t> </w:t>
      </w:r>
      <w:r>
        <w:rPr>
          <w:color w:val="6E6158"/>
        </w:rPr>
        <w:t>or</w:t>
      </w:r>
      <w:r>
        <w:rPr>
          <w:color w:val="6E6158"/>
          <w:spacing w:val="10"/>
        </w:rPr>
        <w:t> </w:t>
      </w:r>
      <w:r>
        <w:rPr>
          <w:color w:val="6E6158"/>
        </w:rPr>
        <w:t>second</w:t>
      </w:r>
      <w:r>
        <w:rPr>
          <w:color w:val="6E6158"/>
          <w:spacing w:val="10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fourteen</w:t>
      </w:r>
      <w:r>
        <w:rPr>
          <w:color w:val="6E6158"/>
          <w:spacing w:val="10"/>
        </w:rPr>
        <w:t> </w:t>
      </w:r>
      <w:r>
        <w:rPr>
          <w:color w:val="6E6158"/>
        </w:rPr>
        <w:t>jury</w:t>
      </w:r>
      <w:r>
        <w:rPr>
          <w:color w:val="6E6158"/>
          <w:spacing w:val="11"/>
        </w:rPr>
        <w:t> </w:t>
      </w:r>
      <w:r>
        <w:rPr>
          <w:color w:val="6E6158"/>
        </w:rPr>
        <w:t>trials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numerous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trials.</w:t>
      </w:r>
    </w:p>
    <w:p>
      <w:pPr>
        <w:pStyle w:val="BodyText"/>
        <w:spacing w:line="302" w:lineRule="auto" w:before="174"/>
        <w:ind w:right="6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268470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9429pt;width:1.65pt;height:1.65pt;mso-position-horizontal-relative:page;mso-position-vertical-relative:paragraph;z-index:15733248" id="docshape15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Second chair for a four day preliminary injunction hearing that tripled the settlement </w:t>
      </w:r>
      <w:r>
        <w:rPr>
          <w:color w:val="6E6158"/>
        </w:rPr>
        <w:t>amount</w:t>
      </w:r>
      <w:r>
        <w:rPr>
          <w:color w:val="6E6158"/>
          <w:spacing w:val="40"/>
        </w:rPr>
        <w:t> </w:t>
      </w:r>
      <w:r>
        <w:rPr>
          <w:color w:val="6E6158"/>
        </w:rPr>
        <w:t>for the client in a limited liability company dispute.</w:t>
      </w:r>
    </w:p>
    <w:p>
      <w:pPr>
        <w:pStyle w:val="BodyText"/>
        <w:spacing w:line="292" w:lineRule="auto" w:before="113"/>
        <w:ind w:right="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224429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1593pt;width:1.65pt;height:1.65pt;mso-position-horizontal-relative:page;mso-position-vertical-relative:paragraph;z-index:15733760" id="docshape1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moved to dismiss a lawsuit and won ensuing appeal for personal injury </w:t>
      </w:r>
      <w:r>
        <w:rPr>
          <w:color w:val="6E6158"/>
        </w:rPr>
        <w:t>claim involving a nuanced statute of limitations argument.</w:t>
      </w:r>
    </w:p>
    <w:p>
      <w:pPr>
        <w:pStyle w:val="BodyText"/>
        <w:spacing w:line="292" w:lineRule="auto" w:before="132"/>
        <w:ind w:right="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375pt;width:1.65pt;height:1.65pt;mso-position-horizontal-relative:page;mso-position-vertical-relative:paragraph;z-index:15734272" id="docshape1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multiple related litigations for a large national automotive and truck dealership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Colorado State Court, Federal District Court, and Federal Bankruptcy Court.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65076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4172pt;width:1.65pt;height:1.65pt;mso-position-horizontal-relative:page;mso-position-vertical-relative:paragraph;z-index:15734784" id="docshape18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8"/>
        </w:rPr>
        <w:t> </w:t>
      </w:r>
      <w:r>
        <w:rPr>
          <w:color w:val="6E6158"/>
        </w:rPr>
        <w:t>Super</w:t>
      </w:r>
      <w:r>
        <w:rPr>
          <w:color w:val="6E6158"/>
          <w:spacing w:val="19"/>
        </w:rPr>
        <w:t> </w:t>
      </w:r>
      <w:r>
        <w:rPr>
          <w:color w:val="6E6158"/>
        </w:rPr>
        <w:t>Lawyers®,</w:t>
      </w:r>
      <w:r>
        <w:rPr>
          <w:color w:val="6E6158"/>
          <w:spacing w:val="19"/>
        </w:rPr>
        <w:t> </w:t>
      </w:r>
      <w:r>
        <w:rPr>
          <w:color w:val="6E6158"/>
        </w:rPr>
        <w:t>General</w:t>
      </w:r>
      <w:r>
        <w:rPr>
          <w:color w:val="6E6158"/>
          <w:spacing w:val="19"/>
        </w:rPr>
        <w:t> </w:t>
      </w:r>
      <w:r>
        <w:rPr>
          <w:color w:val="6E6158"/>
        </w:rPr>
        <w:t>Litigation,</w:t>
      </w:r>
      <w:r>
        <w:rPr>
          <w:color w:val="6E6158"/>
          <w:spacing w:val="18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spacing w:before="16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185215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83906pt;width:1.65pt;height:1.65pt;mso-position-horizontal-relative:page;mso-position-vertical-relative:paragraph;z-index:15735296" id="docshape19" coordorigin="1670,292" coordsize="33,33" path="m1691,324l1682,324,1678,323,1671,316,1670,312,1670,303,1671,300,1678,293,1682,292,1691,292,1694,293,1701,300,1702,303,1702,308,1702,312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Insurance,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2026</w:t>
      </w:r>
    </w:p>
    <w:p>
      <w:pPr>
        <w:spacing w:line="288" w:lineRule="auto" w:before="173"/>
        <w:ind w:left="351" w:right="6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277240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829929pt;width:1.65pt;height:1.65pt;mso-position-horizontal-relative:page;mso-position-vertical-relative:paragraph;z-index:15735808" id="docshape20" coordorigin="1670,437" coordsize="33,33" path="m1691,469l1682,469,1678,468,1671,461,1670,457,1670,448,1671,445,1678,438,1682,437,1691,437,1694,438,1701,445,1702,448,1702,453,1702,457,1701,461,1694,468,1691,4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 and Insurance Law, 2022 and 2025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145831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2766pt;width:1.65pt;height:1.65pt;mso-position-horizontal-relative:page;mso-position-vertical-relative:paragraph;z-index:15736320" id="docshape21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Benchmark</w:t>
      </w:r>
      <w:r>
        <w:rPr>
          <w:color w:val="6E6158"/>
          <w:spacing w:val="12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Future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2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174990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805pt;width:1.65pt;height:1.65pt;mso-position-horizontal-relative:page;mso-position-vertical-relative:paragraph;z-index:15736832" id="docshape2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Lawyers®,</w:t>
      </w:r>
      <w:r>
        <w:rPr>
          <w:color w:val="6E6158"/>
          <w:spacing w:val="13"/>
        </w:rPr>
        <w:t> </w:t>
      </w:r>
      <w:r>
        <w:rPr>
          <w:color w:val="6E6158"/>
        </w:rPr>
        <w:t>Rising</w:t>
      </w:r>
      <w:r>
        <w:rPr>
          <w:color w:val="6E6158"/>
          <w:spacing w:val="14"/>
        </w:rPr>
        <w:t> </w:t>
      </w:r>
      <w:r>
        <w:rPr>
          <w:color w:val="6E6158"/>
        </w:rPr>
        <w:t>Star,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2021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5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59809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9435pt;width:1.65pt;height:1.65pt;mso-position-horizontal-relative:page;mso-position-vertical-relative:paragraph;z-index:15737344" id="docshape23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323342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0051pt;width:1.65pt;height:1.65pt;mso-position-horizontal-relative:page;mso-position-vertical-relative:paragraph;z-index:15737856" id="docshape24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Bar </w:t>
      </w:r>
      <w:r>
        <w:rPr>
          <w:color w:val="6E6158"/>
        </w:rPr>
        <w:t>Association Member, Denver Bar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63967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849pt;width:1.65pt;height:1.65pt;mso-position-horizontal-relative:page;mso-position-vertical-relative:paragraph;z-index:15738368" id="docshape25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 w:line="231" w:lineRule="exact"/>
        <w:sectPr>
          <w:pgSz w:w="12240" w:h="15840"/>
          <w:pgMar w:top="580" w:bottom="280" w:left="1440" w:right="1080"/>
        </w:sectPr>
      </w:pPr>
    </w:p>
    <w:p>
      <w:pPr>
        <w:pStyle w:val="Heading1"/>
        <w:spacing w:before="83"/>
        <w:ind w:left="62" w:right="810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  <w:ind w:left="0" w:right="81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230294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33415pt;width:1.65pt;height:1.65pt;mso-position-horizontal-relative:page;mso-position-vertical-relative:paragraph;z-index:15738880" id="docshape26" coordorigin="1670,363" coordsize="33,33" path="m1691,395l1682,395,1678,394,1671,387,1670,383,1670,374,1671,371,1678,364,1682,363,1691,363,1694,364,1701,371,1702,374,1702,379,1702,383,1701,387,1694,394,1691,3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174999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458pt;width:1.65pt;height:1.65pt;mso-position-horizontal-relative:page;mso-position-vertical-relative:paragraph;z-index:15739392" id="docshape2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174947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408pt;width:1.65pt;height:1.65pt;mso-position-horizontal-relative:page;mso-position-vertical-relative:paragraph;z-index:15739904" id="docshape28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flyn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T. Flynn - Fennemore</dc:title>
  <dcterms:created xsi:type="dcterms:W3CDTF">2026-05-30T00:25:48Z</dcterms:created>
  <dcterms:modified xsi:type="dcterms:W3CDTF">2026-05-30T00:25:48Z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2026-05-30T00:00:00Z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2026-05-30T00:00:00Z</vt:filetime>
  </property>
  <property fmtid="{D5CDD505-2E9C-101B-9397-08002B2CF9AE}" pid="6" name="Producer">
    <vt:lpwstr>Skia/PDF m148</vt:lpwstr>
  </property>
</Properties>
</file>