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una Pedri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728" y="763308"/>
                            <a:ext cx="2084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BRUNA 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PEDRINI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907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5321" y="2226505"/>
                            <a:ext cx="1509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bpedrini@fennemorelaw.com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una Pedrini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BRUNA 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PEDRINI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602.916.5487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602.916.5687</w:t>
                        </w:r>
                      </w:p>
                    </w:txbxContent>
                  </v:textbox>
                  <w10:wrap type="none"/>
                </v:shape>
                <v:shape style="position:absolute;left:7328;top:-1151;width:23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bpedrini@fennemorelaw.com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BRUNA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PEDRINI</w:t>
      </w:r>
    </w:p>
    <w:p>
      <w:pPr>
        <w:pStyle w:val="BodyText"/>
        <w:spacing w:line="295" w:lineRule="auto" w:before="147"/>
        <w:ind w:left="99" w:right="106"/>
      </w:pPr>
      <w:r>
        <w:rPr>
          <w:color w:val="6E6158"/>
        </w:rPr>
        <w:t>Bruna</w:t>
      </w:r>
      <w:r>
        <w:rPr>
          <w:color w:val="6E6158"/>
          <w:spacing w:val="30"/>
        </w:rPr>
        <w:t> </w:t>
      </w:r>
      <w:r>
        <w:rPr>
          <w:color w:val="6E6158"/>
        </w:rPr>
        <w:t>focuses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education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particular</w:t>
      </w:r>
      <w:r>
        <w:rPr>
          <w:color w:val="6E6158"/>
          <w:spacing w:val="30"/>
        </w:rPr>
        <w:t> </w:t>
      </w:r>
      <w:r>
        <w:rPr>
          <w:color w:val="6E6158"/>
        </w:rPr>
        <w:t>emphasis on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She brings extensive, high-level experience advising educational institutions and employers, </w:t>
      </w:r>
      <w:r>
        <w:rPr>
          <w:color w:val="6E6158"/>
        </w:rPr>
        <w:t>including</w:t>
      </w:r>
      <w:r>
        <w:rPr>
          <w:color w:val="6E6158"/>
          <w:spacing w:val="80"/>
        </w:rPr>
        <w:t> </w:t>
      </w:r>
      <w:r>
        <w:rPr>
          <w:color w:val="6E6158"/>
        </w:rPr>
        <w:t>K-12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charter</w:t>
      </w:r>
      <w:r>
        <w:rPr>
          <w:color w:val="6E6158"/>
          <w:spacing w:val="35"/>
        </w:rPr>
        <w:t> </w:t>
      </w:r>
      <w:r>
        <w:rPr>
          <w:color w:val="6E6158"/>
        </w:rPr>
        <w:t>schools,</w:t>
      </w:r>
      <w:r>
        <w:rPr>
          <w:color w:val="6E6158"/>
          <w:spacing w:val="35"/>
        </w:rPr>
        <w:t> </w:t>
      </w:r>
      <w:r>
        <w:rPr>
          <w:color w:val="6E6158"/>
        </w:rPr>
        <w:t>colleges,</w:t>
      </w:r>
      <w:r>
        <w:rPr>
          <w:color w:val="6E6158"/>
          <w:spacing w:val="35"/>
        </w:rPr>
        <w:t> </w:t>
      </w:r>
      <w:r>
        <w:rPr>
          <w:color w:val="6E6158"/>
        </w:rPr>
        <w:t>universities,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</w:p>
    <w:p>
      <w:pPr>
        <w:pStyle w:val="BodyText"/>
        <w:spacing w:before="9"/>
        <w:ind w:left="99"/>
      </w:pPr>
      <w:r>
        <w:rPr>
          <w:color w:val="6E6158"/>
        </w:rPr>
        <w:t>federal,</w:t>
      </w:r>
      <w:r>
        <w:rPr>
          <w:color w:val="6E6158"/>
          <w:spacing w:val="7"/>
        </w:rPr>
        <w:t> </w:t>
      </w:r>
      <w:r>
        <w:rPr>
          <w:color w:val="6E6158"/>
        </w:rPr>
        <w:t>state,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local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10"/>
        </w:rPr>
        <w:t> </w:t>
      </w:r>
      <w:r>
        <w:rPr>
          <w:color w:val="6E6158"/>
        </w:rPr>
        <w:t>such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ADA,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9"/>
        </w:rPr>
        <w:t> </w:t>
      </w:r>
      <w:r>
        <w:rPr>
          <w:color w:val="6E6158"/>
        </w:rPr>
        <w:t>IX,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VII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Fair</w:t>
      </w:r>
      <w:r>
        <w:rPr>
          <w:color w:val="6E6158"/>
          <w:spacing w:val="10"/>
        </w:rPr>
        <w:t> </w:t>
      </w:r>
      <w:r>
        <w:rPr>
          <w:color w:val="6E6158"/>
        </w:rPr>
        <w:t>Housing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laws.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ind w:left="99"/>
      </w:pP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student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employment law matters involving discrimination and retaliation complaints, sexual </w:t>
      </w:r>
      <w:r>
        <w:rPr>
          <w:color w:val="6E6158"/>
        </w:rPr>
        <w:t>misconduct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reviews.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 w:before="9"/>
        <w:ind w:left="99"/>
      </w:pPr>
      <w:r>
        <w:rPr>
          <w:color w:val="6E6158"/>
        </w:rPr>
        <w:t>advises employers on workplace accessibility, anti-discrimination policies, and diversity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laws</w:t>
      </w:r>
      <w:r>
        <w:rPr>
          <w:color w:val="6E6158"/>
          <w:spacing w:val="35"/>
        </w:rPr>
        <w:t> </w:t>
      </w:r>
      <w:r>
        <w:rPr>
          <w:color w:val="6E6158"/>
        </w:rPr>
        <w:t>governing</w:t>
      </w:r>
      <w:r>
        <w:rPr>
          <w:color w:val="6E6158"/>
          <w:spacing w:val="35"/>
        </w:rPr>
        <w:t> </w:t>
      </w:r>
      <w:r>
        <w:rPr>
          <w:color w:val="6E6158"/>
        </w:rPr>
        <w:t>fair</w:t>
      </w:r>
      <w:r>
        <w:rPr>
          <w:color w:val="6E6158"/>
          <w:spacing w:val="35"/>
        </w:rPr>
        <w:t> </w:t>
      </w:r>
      <w:r>
        <w:rPr>
          <w:color w:val="6E6158"/>
        </w:rPr>
        <w:t>treatment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hiring,</w:t>
      </w:r>
      <w:r>
        <w:rPr>
          <w:color w:val="6E6158"/>
          <w:spacing w:val="35"/>
        </w:rPr>
        <w:t> </w:t>
      </w:r>
      <w:r>
        <w:rPr>
          <w:color w:val="6E6158"/>
        </w:rPr>
        <w:t>promotion,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workplace</w:t>
      </w:r>
    </w:p>
    <w:p>
      <w:pPr>
        <w:pStyle w:val="BodyText"/>
        <w:spacing w:before="1"/>
        <w:ind w:left="99"/>
      </w:pPr>
      <w:r>
        <w:rPr>
          <w:color w:val="6E6158"/>
        </w:rPr>
        <w:t>practices.</w:t>
      </w:r>
      <w:r>
        <w:rPr>
          <w:color w:val="6E6158"/>
          <w:spacing w:val="12"/>
        </w:rPr>
        <w:t> </w:t>
      </w: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serves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networks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99" w:right="697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Bruna</w:t>
      </w:r>
      <w:r>
        <w:rPr>
          <w:color w:val="6E6158"/>
          <w:spacing w:val="34"/>
        </w:rPr>
        <w:t> </w:t>
      </w:r>
      <w:r>
        <w:rPr>
          <w:color w:val="6E6158"/>
        </w:rPr>
        <w:t>conducts</w:t>
      </w:r>
      <w:r>
        <w:rPr>
          <w:color w:val="6E6158"/>
          <w:spacing w:val="34"/>
        </w:rPr>
        <w:t> </w:t>
      </w:r>
      <w:r>
        <w:rPr>
          <w:color w:val="6E6158"/>
        </w:rPr>
        <w:t>training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executives,</w:t>
      </w:r>
      <w:r>
        <w:rPr>
          <w:color w:val="6E6158"/>
          <w:spacing w:val="34"/>
        </w:rPr>
        <w:t> </w:t>
      </w:r>
      <w:r>
        <w:rPr>
          <w:color w:val="6E6158"/>
        </w:rPr>
        <w:t>managers,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employees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laws,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workplace</w:t>
      </w:r>
      <w:r>
        <w:rPr>
          <w:color w:val="6E6158"/>
          <w:spacing w:val="17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86"/>
        <w:ind w:left="99"/>
      </w:pPr>
      <w:r>
        <w:rPr>
          <w:color w:val="6E6158"/>
        </w:rPr>
        <w:t>Bruna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Alternative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4"/>
        </w:rPr>
        <w:t> </w:t>
      </w:r>
      <w:r>
        <w:rPr>
          <w:color w:val="6E6158"/>
        </w:rPr>
        <w:t>(ADR)</w:t>
      </w:r>
      <w:r>
        <w:rPr>
          <w:color w:val="6E6158"/>
          <w:spacing w:val="14"/>
        </w:rPr>
        <w:t> </w:t>
      </w:r>
      <w:r>
        <w:rPr>
          <w:color w:val="6E6158"/>
        </w:rPr>
        <w:t>methods,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mediation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697"/>
      </w:pPr>
      <w:r>
        <w:rPr>
          <w:color w:val="6E6158"/>
        </w:rPr>
        <w:t>arbitration, helping clients resolve conflicts efficiently while minimizing costs and </w:t>
      </w:r>
      <w:r>
        <w:rPr>
          <w:color w:val="6E6158"/>
        </w:rPr>
        <w:t>preserving</w:t>
      </w:r>
      <w:r>
        <w:rPr>
          <w:color w:val="6E6158"/>
          <w:spacing w:val="40"/>
        </w:rPr>
        <w:t> </w:t>
      </w:r>
      <w:r>
        <w:rPr>
          <w:color w:val="6E6158"/>
        </w:rPr>
        <w:t>relationships. Her innovative problem-solving approach helps employers and 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 create inclusive environments and address areas for improvement.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Bruna has written federal grants and administered and managed compliance with federal </w:t>
      </w:r>
      <w:r>
        <w:rPr>
          <w:color w:val="6E6158"/>
        </w:rPr>
        <w:t>grant</w:t>
      </w:r>
      <w:r>
        <w:rPr>
          <w:color w:val="6E6158"/>
          <w:spacing w:val="40"/>
        </w:rPr>
        <w:t> </w:t>
      </w:r>
      <w:r>
        <w:rPr>
          <w:color w:val="6E6158"/>
        </w:rPr>
        <w:t>standards for state and local entities and subcontractors.</w:t>
      </w:r>
      <w:r>
        <w:rPr>
          <w:color w:val="6E6158"/>
          <w:spacing w:val="80"/>
        </w:rPr>
        <w:t> </w:t>
      </w:r>
      <w:r>
        <w:rPr>
          <w:color w:val="6E6158"/>
        </w:rPr>
        <w:t>In her role as counsel for public and private educational institutions she handles relocation support and stipend payments.</w:t>
      </w:r>
      <w:r>
        <w:rPr>
          <w:color w:val="6E6158"/>
          <w:spacing w:val="80"/>
        </w:rPr>
        <w:t> </w:t>
      </w:r>
      <w:r>
        <w:rPr>
          <w:color w:val="6E6158"/>
        </w:rPr>
        <w:t>She also advises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procurement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granting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disbursement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funds and reporting requirements related to federal grant implementation.</w:t>
      </w:r>
    </w:p>
    <w:p>
      <w:pPr>
        <w:pStyle w:val="BodyText"/>
        <w:spacing w:line="297" w:lineRule="auto" w:before="195"/>
        <w:ind w:left="99" w:right="348"/>
      </w:pPr>
      <w:r>
        <w:rPr>
          <w:color w:val="6E6158"/>
        </w:rPr>
        <w:t>Previously, Bruna served as Chief Counsel of the Civil Rights and Conflict Resolution Section for</w:t>
      </w:r>
      <w:r>
        <w:rPr>
          <w:color w:val="6E6158"/>
          <w:spacing w:val="80"/>
        </w:rPr>
        <w:t> </w:t>
      </w:r>
      <w:r>
        <w:rPr>
          <w:color w:val="6E6158"/>
        </w:rPr>
        <w:t>the Arizona Attorney General’s Office and was a Visiting Professor at the Sandra Day O’Connor</w:t>
      </w:r>
      <w:r>
        <w:rPr>
          <w:color w:val="6E6158"/>
          <w:spacing w:val="40"/>
        </w:rPr>
        <w:t> </w:t>
      </w:r>
      <w:r>
        <w:rPr>
          <w:color w:val="6E6158"/>
        </w:rPr>
        <w:t>College of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64818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3836pt;width:1.65pt;height:1.65pt;mso-position-horizontal-relative:page;mso-position-vertical-relative:paragraph;z-index:15729152" id="docshape11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175258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74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Iowa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Minnesota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1987</w:t>
      </w: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59355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3694pt;width:1.65pt;height:1.65pt;mso-position-horizontal-relative:page;mso-position-vertical-relative:paragraph;z-index:15731712" id="docshape15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322888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4313pt;width:1.65pt;height:1.65pt;mso-position-horizontal-relative:page;mso-position-vertical-relative:paragraph;z-index:15732224" id="docshape16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Real 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63513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092pt;width:1.65pt;height:1.65pt;mso-position-horizontal-relative:page;mso-position-vertical-relative:paragraph;z-index:15732736" id="docshape1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ADA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Accessibility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240318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22726pt;width:1.65pt;height:1.65pt;mso-position-horizontal-relative:page;mso-position-vertical-relative:paragraph;z-index:15733248" id="docshape18" coordorigin="1670,378" coordsize="33,33" path="m1691,411l1682,411,1678,409,1671,403,1670,399,1670,390,1671,386,1678,380,1682,378,1691,378,1694,380,1701,386,1702,390,1702,395,1702,399,1701,403,1694,409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180404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205089pt;width:1.65pt;height:1.65pt;mso-position-horizontal-relative:page;mso-position-vertical-relative:paragraph;z-index:15733760" id="docshape19" coordorigin="1670,284" coordsize="33,33" path="m1691,317l1682,317,1678,315,1671,309,1670,305,1670,296,1671,292,1678,286,1682,284,1691,284,1694,286,1701,292,1702,296,1702,300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Management,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152678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1893pt;width:1.65pt;height:1.65pt;mso-position-horizontal-relative:page;mso-position-vertical-relative:paragraph;z-index:15734272" id="docshape2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Inclusion, Parental Rights, and Choice: Classroom Lessons in Pluralism</w:t>
        </w:r>
      </w:hyperlink>
      <w:r>
        <w:rPr>
          <w:color w:val="6E6158"/>
        </w:rPr>
        <w:t>,” </w:t>
      </w:r>
      <w:r>
        <w:rPr>
          <w:color w:val="6E6158"/>
        </w:rPr>
        <w:t>Fennemore Blog, August 18,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236128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768pt;width:1.65pt;height:1.65pt;mso-position-horizontal-relative:page;mso-position-vertical-relative:paragraph;z-index:15734784" id="docshape2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Increase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Scope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Against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Sex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Discrimination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</w:t>
      </w:r>
      <w:r>
        <w:rPr>
          <w:color w:val="6E6158"/>
          <w:spacing w:val="40"/>
        </w:rPr>
        <w:t> </w:t>
      </w:r>
      <w:r>
        <w:rPr>
          <w:color w:val="6E6158"/>
        </w:rPr>
        <w:t>Blog,</w:t>
      </w:r>
      <w:r>
        <w:rPr>
          <w:color w:val="6E6158"/>
          <w:spacing w:val="40"/>
        </w:rPr>
        <w:t>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11,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7" w:lineRule="auto" w:before="123"/>
        <w:ind w:right="12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0492pt;width:1.65pt;height:1.65pt;mso-position-horizontal-relative:page;mso-position-vertical-relative:paragraph;z-index:15735296" id="docshape22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767991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0.471779pt;width:1.65pt;height:1.65pt;mso-position-horizontal-relative:page;mso-position-vertical-relative:paragraph;z-index:15735808" id="docshape23" coordorigin="1670,1209" coordsize="33,33" path="m1691,1242l1682,1242,1678,1240,1671,1234,1670,1230,1670,1221,1671,1217,1678,1211,1682,1209,1691,1209,1694,1211,1701,1217,1702,1221,1702,1226,1702,1230,1701,1234,1694,1240,1691,12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Increase Scope Against Sex Discrimination, Key Facts About TITLE IX Training</w:t>
        </w:r>
      </w:hyperlink>
      <w:r>
        <w:rPr>
          <w:color w:val="6E6158"/>
        </w:rPr>
        <w:t>,” Fennemore </w:t>
      </w:r>
      <w:r>
        <w:rPr>
          <w:color w:val="6E6158"/>
        </w:rPr>
        <w:t>Blog, September 11, 2024</w:t>
      </w:r>
    </w:p>
    <w:p>
      <w:pPr>
        <w:pStyle w:val="BodyText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1060346</wp:posOffset>
                </wp:positionH>
                <wp:positionV relativeFrom="paragraph">
                  <wp:posOffset>46590</wp:posOffset>
                </wp:positionV>
                <wp:extent cx="20955" cy="2095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.668549pt;width:1.65pt;height:1.65pt;mso-position-horizontal-relative:page;mso-position-vertical-relative:paragraph;z-index:-15727104;mso-wrap-distance-left:0;mso-wrap-distance-right:0" id="docshape24" coordorigin="1670,73" coordsize="33,33" path="m1691,106l1682,106,1678,104,1671,98,1670,94,1670,85,1671,81,1678,75,1682,73,1691,73,1694,75,1701,81,1702,85,1702,90,1702,94,1701,98,1694,104,1691,106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jc w:val="both"/>
      </w:pPr>
      <w:hyperlink r:id="rId14">
        <w:r>
          <w:rPr>
            <w:color w:val="F5821F"/>
          </w:rPr>
          <w:t>Featuring,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“Thursday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268172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953pt;width:1.65pt;height:1.65pt;mso-position-horizontal-relative:page;mso-position-vertical-relative:paragraph;z-index:15736320" id="docshape2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292" w:lineRule="auto" w:before="11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224131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167pt;width:1.65pt;height:1.65pt;mso-position-horizontal-relative:page;mso-position-vertical-relative:paragraph;z-index:15736832" id="docshape26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“9th U.S. Circuit ruling: AZ students can be disciplined for certain off-campus, social</w:t>
      </w:r>
      <w:r>
        <w:rPr>
          <w:color w:val="6E6158"/>
          <w:spacing w:val="40"/>
        </w:rPr>
        <w:t> </w:t>
      </w:r>
      <w:r>
        <w:rPr>
          <w:color w:val="6E6158"/>
        </w:rPr>
        <w:t>media posts,” Arizona Capitol Times, KJZZ and AZ Central, January 13, 2023</w:t>
      </w:r>
    </w:p>
    <w:p>
      <w:pPr>
        <w:pStyle w:val="BodyText"/>
        <w:spacing w:line="302" w:lineRule="auto" w:before="123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046pt;width:1.65pt;height:1.65pt;mso-position-horizontal-relative:page;mso-position-vertical-relative:paragraph;z-index:15737344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“Self-Checkouts Often Inaccessible to Disabled Shoppers,” The Food </w:t>
      </w:r>
      <w:r>
        <w:rPr>
          <w:color w:val="6E6158"/>
        </w:rPr>
        <w:t>Institute, December 14, 2022</w:t>
      </w:r>
    </w:p>
    <w:p>
      <w:pPr>
        <w:pStyle w:val="BodyText"/>
        <w:spacing w:line="288" w:lineRule="auto" w:before="103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224169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163pt;width:1.65pt;height:1.65pt;mso-position-horizontal-relative:page;mso-position-vertical-relative:paragraph;z-index:15737856" id="docshape2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Coronavirus Mask Exemption Cards Real? Experts Weigh In,” </w:t>
      </w:r>
      <w:r>
        <w:rPr>
          <w:i/>
          <w:color w:val="6E6158"/>
          <w:sz w:val="20"/>
        </w:rPr>
        <w:t>Best Life, </w:t>
      </w:r>
      <w:r>
        <w:rPr>
          <w:color w:val="6E6158"/>
        </w:rPr>
        <w:t>June 25,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8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238788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2258pt;width:1.65pt;height:1.65pt;mso-position-horizontal-relative:page;mso-position-vertical-relative:paragraph;z-index:15738368" id="docshape29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12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316969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8239pt;width:1.65pt;height:1.65pt;mso-position-horizontal-relative:page;mso-position-vertical-relative:paragraph;z-index:15738880" id="docshape30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Alert, March 20, 2020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143661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11949pt;width:1.65pt;height:1.65pt;mso-position-horizontal-relative:page;mso-position-vertical-relative:paragraph;z-index:15739392" id="docshape31" coordorigin="1670,226" coordsize="33,33" path="m1691,259l1682,259,1678,257,1671,251,1670,247,1670,238,1671,234,1678,228,1682,226,1691,226,1694,228,1701,234,1702,238,1702,243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“Implicit</w:t>
      </w:r>
      <w:r>
        <w:rPr>
          <w:color w:val="6E6158"/>
          <w:spacing w:val="12"/>
        </w:rPr>
        <w:t> </w:t>
      </w:r>
      <w:r>
        <w:rPr>
          <w:color w:val="6E6158"/>
        </w:rPr>
        <w:t>Bias</w:t>
      </w:r>
      <w:r>
        <w:rPr>
          <w:color w:val="6E6158"/>
          <w:spacing w:val="12"/>
        </w:rPr>
        <w:t> </w:t>
      </w:r>
      <w:r>
        <w:rPr>
          <w:color w:val="6E6158"/>
        </w:rPr>
        <w:t>Training,”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263292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173pt;width:1.65pt;height:1.65pt;mso-position-horizontal-relative:page;mso-position-vertical-relative:paragraph;z-index:15739904" id="docshape32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“Welcome to ADA Compliance: Serving Your Guests and the Animals That Serve Them,” AAHOA Convention, April 2019</w:t>
      </w:r>
    </w:p>
    <w:p>
      <w:pPr>
        <w:pStyle w:val="BodyText"/>
        <w:spacing w:line="292" w:lineRule="auto" w:before="132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236253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657pt;width:1.65pt;height:1.65pt;mso-position-horizontal-relative:page;mso-position-vertical-relative:paragraph;z-index:15740416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“Service Animals: The Who, What, When, Where, Why and How,” Asian </w:t>
      </w:r>
      <w:r>
        <w:rPr>
          <w:color w:val="6E6158"/>
        </w:rPr>
        <w:t>American Hotel Association Webinar, June 26,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440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Fennemore, June 14, 2017</w:t>
      </w:r>
    </w:p>
    <w:p>
      <w:pPr>
        <w:pStyle w:val="BodyText"/>
        <w:spacing w:line="292" w:lineRule="auto" w:before="123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1952" id="docshape3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96pt;width:1.65pt;height:1.65pt;mso-position-horizontal-relative:page;mso-position-vertical-relative:paragraph;z-index:15742464" id="docshape3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“ADA</w:t>
      </w:r>
      <w:r>
        <w:rPr>
          <w:color w:val="6E6158"/>
          <w:spacing w:val="10"/>
        </w:rPr>
        <w:t> </w:t>
      </w:r>
      <w:r>
        <w:rPr>
          <w:color w:val="6E6158"/>
        </w:rPr>
        <w:t>Compliance,”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Bankers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Seminar,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601pt;width:1.65pt;height:1.65pt;mso-position-horizontal-relative:page;mso-position-vertical-relative:paragraph;z-index:15742976" id="docshape3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Title III Accessibility Litigation – A Panel Discussion,” ADA Title III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Litigation Webinar, January 2017</w:t>
      </w:r>
    </w:p>
    <w:p>
      <w:pPr>
        <w:pStyle w:val="BodyText"/>
        <w:spacing w:line="297" w:lineRule="auto" w:before="124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324056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296pt;width:1.65pt;height:1.65pt;mso-position-horizontal-relative:page;mso-position-vertical-relative:paragraph;z-index:15743488" id="docshape3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“Fair Housing and Domestic Violent Alert: Nuisance Laws, Eviction Policies and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Emergency Services Calls Policies May Be Discriminatory,” Fennemore Client Alert, </w:t>
        </w:r>
        <w:r>
          <w:rPr>
            <w:color w:val="FF8100"/>
          </w:rPr>
          <w:t>November</w:t>
        </w:r>
      </w:hyperlink>
      <w:r>
        <w:rPr>
          <w:color w:val="FF8100"/>
          <w:spacing w:val="40"/>
        </w:rPr>
        <w:t> </w:t>
      </w:r>
      <w:hyperlink r:id="rId17">
        <w:r>
          <w:rPr>
            <w:color w:val="FF8100"/>
          </w:rPr>
          <w:t>16, 2016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227267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5086pt;width:1.65pt;height:1.65pt;mso-position-horizontal-relative:page;mso-position-vertical-relative:paragraph;z-index:15744000" id="docshape40" coordorigin="1670,358" coordsize="33,33" path="m1691,390l1682,390,1678,389,1671,383,1670,379,1670,370,1671,366,1678,359,1682,358,1691,358,1694,359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“Fair Housing Issues For Group Homes and State and Local land Use Laws,” Fennemore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Client Alert, November 15, 2016</w:t>
        </w:r>
      </w:hyperlink>
    </w:p>
    <w:p>
      <w:pPr>
        <w:pStyle w:val="BodyText"/>
        <w:spacing w:line="292" w:lineRule="auto" w:before="131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235785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79pt;width:1.65pt;height:1.65pt;mso-position-horizontal-relative:page;mso-position-vertical-relative:paragraph;z-index:15744512" id="docshape4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“Fight Over the Enforcement of the ADA and AZDA Continues to Heat Up,”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Fennemore Client Alert, October 5, 2016</w:t>
        </w:r>
      </w:hyperlink>
    </w:p>
    <w:p>
      <w:pPr>
        <w:pStyle w:val="BodyText"/>
        <w:spacing w:line="302" w:lineRule="auto" w:before="123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236050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668pt;width:1.65pt;height:1.65pt;mso-position-horizontal-relative:page;mso-position-vertical-relative:paragraph;z-index:15745024" id="docshape4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Lawsuits and Their Impact on the CRE Industry,” BOMA Greater Phoenix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NAIOP, October 2016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131383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519pt;width:1.65pt;height:1.65pt;mso-position-horizontal-relative:page;mso-position-vertical-relative:paragraph;z-index:15745536" id="docshape43" coordorigin="1670,207" coordsize="33,33" path="m1691,239l1682,239,1678,238,1671,232,1670,228,1670,219,1671,215,1678,208,1682,207,1691,207,1694,208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“Empower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Evaluate,”</w:t>
      </w:r>
      <w:r>
        <w:rPr>
          <w:color w:val="6E6158"/>
          <w:spacing w:val="11"/>
        </w:rPr>
        <w:t> </w:t>
      </w:r>
      <w:r>
        <w:rPr>
          <w:color w:val="6E6158"/>
        </w:rPr>
        <w:t>ADA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64549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2668pt;width:1.65pt;height:1.65pt;mso-position-horizontal-relative:page;mso-position-vertical-relative:paragraph;z-index:15746048" id="docshape44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322915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6411pt;width:1.65pt;height:1.65pt;mso-position-horizontal-relative:page;mso-position-vertical-relative:paragraph;z-index:15746560" id="docshape45" coordorigin="1670,509" coordsize="33,33" path="m1691,541l1682,541,1678,539,1671,533,1670,529,1670,520,1671,516,1678,510,1682,509,1691,509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 w:before="6"/>
        <w:ind w:right="4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63540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187pt;width:1.65pt;height:1.65pt;mso-position-horizontal-relative:page;mso-position-vertical-relative:paragraph;z-index:15747072" id="docshape4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327072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3778pt;width:1.65pt;height:1.65pt;mso-position-horizontal-relative:page;mso-position-vertical-relative:paragraph;z-index:15747584" id="docshape47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585438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97546pt;width:1.65pt;height:1.65pt;mso-position-horizontal-relative:page;mso-position-vertical-relative:paragraph;z-index:15748096" id="docshape48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Maricopa County Bar Association Member, Association for Conflict Resolution Member, Arizona Dispute Resolution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63383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0837pt;width:1.65pt;height:1.65pt;mso-position-horizontal-relative:page;mso-position-vertical-relative:paragraph;z-index:15748608" id="docshape4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5"/>
        </w:rPr>
        <w:t> </w:t>
      </w:r>
      <w:r>
        <w:rPr>
          <w:color w:val="6E6158"/>
        </w:rPr>
        <w:t>Alternative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268350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94pt;width:1.65pt;height:1.65pt;mso-position-horizontal-relative:page;mso-position-vertical-relative:paragraph;z-index:15749120" id="docshape5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Conducted</w:t>
      </w:r>
      <w:r>
        <w:rPr>
          <w:color w:val="6E6158"/>
          <w:spacing w:val="18"/>
        </w:rPr>
        <w:t> </w:t>
      </w:r>
      <w:r>
        <w:rPr>
          <w:color w:val="6E6158"/>
        </w:rPr>
        <w:t>gang</w:t>
      </w:r>
      <w:r>
        <w:rPr>
          <w:color w:val="6E6158"/>
          <w:spacing w:val="18"/>
        </w:rPr>
        <w:t> </w:t>
      </w:r>
      <w:r>
        <w:rPr>
          <w:color w:val="6E6158"/>
        </w:rPr>
        <w:t>mediations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coordinated</w:t>
      </w:r>
      <w:r>
        <w:rPr>
          <w:color w:val="6E6158"/>
          <w:spacing w:val="18"/>
        </w:rPr>
        <w:t> </w:t>
      </w:r>
      <w:r>
        <w:rPr>
          <w:color w:val="6E6158"/>
        </w:rPr>
        <w:t>“Not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  <w:r>
        <w:rPr>
          <w:color w:val="6E6158"/>
          <w:spacing w:val="18"/>
        </w:rPr>
        <w:t> </w:t>
      </w:r>
      <w:r>
        <w:rPr>
          <w:color w:val="6E6158"/>
        </w:rPr>
        <w:t>State”</w:t>
      </w:r>
      <w:r>
        <w:rPr>
          <w:color w:val="6E6158"/>
          <w:spacing w:val="18"/>
        </w:rPr>
        <w:t> </w:t>
      </w:r>
      <w:r>
        <w:rPr>
          <w:color w:val="6E6158"/>
        </w:rPr>
        <w:t>anti-harassment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anti-discrimination program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64916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1570pt;width:1.65pt;height:1.65pt;mso-position-horizontal-relative:page;mso-position-vertical-relative:paragraph;z-index:15749632" id="docshape5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175356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609pt;width:1.65pt;height:1.65pt;mso-position-horizontal-relative:page;mso-position-vertical-relative:paragraph;z-index:15750144" id="docshape5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64710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279pt;width:1.65pt;height:1.65pt;mso-position-horizontal-relative:page;mso-position-vertical-relative:paragraph;z-index:15750656" id="docshape53" coordorigin="1670,102" coordsize="33,33" path="m1691,134l1682,134,1678,133,1671,127,1670,123,1670,114,1671,110,1678,103,1682,102,1691,102,1694,103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(Fluent)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pedrini@fennemorelaw.com" TargetMode="External"/><Relationship Id="rId11" Type="http://schemas.openxmlformats.org/officeDocument/2006/relationships/hyperlink" Target="https://www.fennemorelaw.com/inclusion-parental-rights-and-choice-classroom-lessons-in-pluralism/" TargetMode="External"/><Relationship Id="rId12" Type="http://schemas.openxmlformats.org/officeDocument/2006/relationships/hyperlink" Target="https://www.fennemorelaw.com/update-u-s-department-of-education-final-title-ix-regulations-effective-august-1-increase-scope-against-sex-discrimination/" TargetMode="External"/><Relationship Id="rId13" Type="http://schemas.openxmlformats.org/officeDocument/2006/relationships/hyperlink" Target="https://www.fennemorelaw.com/update-u-s-department-of-education-final-title-ix-regulations-effective-august-1-increase-scope-against-sex-discrimination-key-facts-about-title-ix-training/" TargetMode="External"/><Relationship Id="rId14" Type="http://schemas.openxmlformats.org/officeDocument/2006/relationships/hyperlink" Target="https://www.fennemorelaw.com/i-liken-that-work-to-standing-in-a-batters-box-and-taking-the-pitches-as-they-come/" TargetMode="External"/><Relationship Id="rId15" Type="http://schemas.openxmlformats.org/officeDocument/2006/relationships/hyperlink" Target="https://www.fennemorelaw.com/insights/newsletters/2020/covid-19-health-plan-coverage-for-furloughed-employees" TargetMode="External"/><Relationship Id="rId16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7" Type="http://schemas.openxmlformats.org/officeDocument/2006/relationships/hyperlink" Target="https://www.fennemorelaw.com/insights/newsletters/2016/fair-housing-and-domestic-violence-nuisance-laws-eviction-policies-and-emergency-services-calls" TargetMode="External"/><Relationship Id="rId18" Type="http://schemas.openxmlformats.org/officeDocument/2006/relationships/hyperlink" Target="https://www.fennemorelaw.com/insights/newsletters/2016/fair-housing-issues-for-group-homes-and-state-and-local-land-use-laws" TargetMode="External"/><Relationship Id="rId19" Type="http://schemas.openxmlformats.org/officeDocument/2006/relationships/hyperlink" Target="https://www.fennemorelaw.com/insights/newsletters/2016/fight-over-enforcement-of-the-ada-and-azda-continues-to-heat-u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E. Pedrini - Fennemore</dc:title>
  <dcterms:created xsi:type="dcterms:W3CDTF">2026-05-15T22:53:50Z</dcterms:created>
  <dcterms:modified xsi:type="dcterms:W3CDTF">2026-05-15T22:53:50Z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2026-05-15T00:00:00Z</vt:filetime>
  </property>
  <property fmtid="{D5CDD505-2E9C-101B-9397-08002B2CF9AE}" pid="6" name="Producer">
    <vt:lpwstr>Skia/PDF m146</vt:lpwstr>
  </property>
</Properties>
</file>