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exie Davis 5531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LEXIE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DAVIS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303.764.3730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ldavis@fennemorelaw.com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Lexie Davis 5531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LEXIE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DAVIS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303.764.3730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ldavis@fennemorelaw.com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LEXIE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DAVIS</w:t>
      </w:r>
    </w:p>
    <w:p>
      <w:pPr>
        <w:pStyle w:val="BodyText"/>
        <w:spacing w:line="295" w:lineRule="auto" w:before="147"/>
        <w:ind w:left="99" w:right="644"/>
      </w:pPr>
      <w:r>
        <w:rPr>
          <w:color w:val="6E6158"/>
        </w:rPr>
        <w:t>Lexie Davis is an attorney in the firm’s Healthcare practice group, where she provides strategic</w:t>
      </w:r>
      <w:r>
        <w:rPr>
          <w:color w:val="6E6158"/>
          <w:spacing w:val="40"/>
        </w:rPr>
        <w:t> </w:t>
      </w:r>
      <w:r>
        <w:rPr>
          <w:color w:val="6E6158"/>
        </w:rPr>
        <w:t>legal counsel on health care law, compliance, and negotiations. She advises medical practices,</w:t>
      </w:r>
      <w:r>
        <w:rPr>
          <w:color w:val="6E6158"/>
          <w:spacing w:val="40"/>
        </w:rPr>
        <w:t> </w:t>
      </w:r>
      <w:r>
        <w:rPr>
          <w:color w:val="6E6158"/>
        </w:rPr>
        <w:t>health</w:t>
      </w:r>
      <w:r>
        <w:rPr>
          <w:color w:val="6E6158"/>
          <w:spacing w:val="30"/>
        </w:rPr>
        <w:t> </w:t>
      </w:r>
      <w:r>
        <w:rPr>
          <w:color w:val="6E6158"/>
        </w:rPr>
        <w:t>care</w:t>
      </w:r>
      <w:r>
        <w:rPr>
          <w:color w:val="6E6158"/>
          <w:spacing w:val="30"/>
        </w:rPr>
        <w:t> </w:t>
      </w:r>
      <w:r>
        <w:rPr>
          <w:color w:val="6E6158"/>
        </w:rPr>
        <w:t>entities,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health</w:t>
      </w:r>
      <w:r>
        <w:rPr>
          <w:color w:val="6E6158"/>
          <w:spacing w:val="30"/>
        </w:rPr>
        <w:t> </w:t>
      </w:r>
      <w:r>
        <w:rPr>
          <w:color w:val="6E6158"/>
        </w:rPr>
        <w:t>care</w:t>
      </w:r>
      <w:r>
        <w:rPr>
          <w:color w:val="6E6158"/>
          <w:spacing w:val="30"/>
        </w:rPr>
        <w:t> </w:t>
      </w:r>
      <w:r>
        <w:rPr>
          <w:color w:val="6E6158"/>
        </w:rPr>
        <w:t>professionals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HIPAA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other 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physician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shareholder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practice structuring and formation, credentialing, and licensing. Lexie is known for her practical </w:t>
      </w:r>
      <w:r>
        <w:rPr>
          <w:color w:val="6E6158"/>
        </w:rPr>
        <w:t>approach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become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trusted</w:t>
      </w:r>
      <w:r>
        <w:rPr>
          <w:color w:val="6E6158"/>
          <w:spacing w:val="31"/>
        </w:rPr>
        <w:t> </w:t>
      </w:r>
      <w:r>
        <w:rPr>
          <w:color w:val="6E6158"/>
        </w:rPr>
        <w:t>counsel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navigating</w:t>
      </w:r>
      <w:r>
        <w:rPr>
          <w:color w:val="6E6158"/>
          <w:spacing w:val="31"/>
        </w:rPr>
        <w:t> </w:t>
      </w:r>
      <w:r>
        <w:rPr>
          <w:color w:val="6E6158"/>
        </w:rPr>
        <w:t>complex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regulatory challenges in the health care industry.</w:t>
      </w:r>
    </w:p>
    <w:p>
      <w:pPr>
        <w:pStyle w:val="BodyText"/>
        <w:spacing w:line="295" w:lineRule="auto" w:before="199"/>
        <w:ind w:left="99" w:right="644"/>
      </w:pPr>
      <w:r>
        <w:rPr>
          <w:color w:val="6E6158"/>
        </w:rPr>
        <w:t>In addition to her advisory work, Lexie maintains an active litigation practice. She represents</w:t>
      </w:r>
      <w:r>
        <w:rPr>
          <w:color w:val="6E6158"/>
          <w:spacing w:val="40"/>
        </w:rPr>
        <w:t> </w:t>
      </w:r>
      <w:r>
        <w:rPr>
          <w:color w:val="6E6158"/>
        </w:rPr>
        <w:t>clients in both state and federal courts, handling all phases of civil litigation. Her litigation</w:t>
      </w:r>
      <w:r>
        <w:rPr>
          <w:color w:val="6E6158"/>
          <w:spacing w:val="40"/>
        </w:rPr>
        <w:t> </w:t>
      </w:r>
      <w:r>
        <w:rPr>
          <w:color w:val="6E6158"/>
        </w:rPr>
        <w:t>experience includes high-stakes cases involving regulatory issues, business ownership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employment matters, and contractual claims.</w:t>
      </w:r>
    </w:p>
    <w:p>
      <w:pPr>
        <w:pStyle w:val="BodyText"/>
        <w:spacing w:line="297" w:lineRule="auto" w:before="197"/>
        <w:ind w:left="99" w:right="258"/>
      </w:pPr>
      <w:r>
        <w:rPr>
          <w:color w:val="6E6158"/>
        </w:rPr>
        <w:t>Lexie earned her J.D. from the Sandra Day O’Connor College of Law at Arizona State University.</w:t>
      </w:r>
      <w:r>
        <w:rPr>
          <w:color w:val="6E6158"/>
          <w:spacing w:val="40"/>
        </w:rPr>
        <w:t> </w:t>
      </w:r>
      <w:r>
        <w:rPr>
          <w:color w:val="6E6158"/>
        </w:rPr>
        <w:t>During law school, she served as a law clerk at the Colorado Office of the Attorney General and</w:t>
      </w:r>
      <w:r>
        <w:rPr>
          <w:color w:val="6E6158"/>
          <w:spacing w:val="40"/>
        </w:rPr>
        <w:t> </w:t>
      </w:r>
      <w:r>
        <w:rPr>
          <w:color w:val="6E6158"/>
        </w:rPr>
        <w:t>externed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Honorable</w:t>
      </w:r>
      <w:r>
        <w:rPr>
          <w:color w:val="6E6158"/>
          <w:spacing w:val="24"/>
        </w:rPr>
        <w:t> </w:t>
      </w:r>
      <w:r>
        <w:rPr>
          <w:color w:val="6E6158"/>
        </w:rPr>
        <w:t>Douglas</w:t>
      </w:r>
      <w:r>
        <w:rPr>
          <w:color w:val="6E6158"/>
          <w:spacing w:val="24"/>
        </w:rPr>
        <w:t> </w:t>
      </w:r>
      <w:r>
        <w:rPr>
          <w:color w:val="6E6158"/>
        </w:rPr>
        <w:t>L.</w:t>
      </w:r>
      <w:r>
        <w:rPr>
          <w:color w:val="6E6158"/>
          <w:spacing w:val="24"/>
        </w:rPr>
        <w:t> </w:t>
      </w:r>
      <w:r>
        <w:rPr>
          <w:color w:val="6E6158"/>
        </w:rPr>
        <w:t>Rayes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U.S.</w:t>
      </w:r>
      <w:r>
        <w:rPr>
          <w:color w:val="6E6158"/>
          <w:spacing w:val="24"/>
        </w:rPr>
        <w:t> </w:t>
      </w:r>
      <w:r>
        <w:rPr>
          <w:color w:val="6E6158"/>
        </w:rPr>
        <w:t>District</w:t>
      </w:r>
      <w:r>
        <w:rPr>
          <w:color w:val="6E6158"/>
          <w:spacing w:val="24"/>
        </w:rPr>
        <w:t> </w:t>
      </w:r>
      <w:r>
        <w:rPr>
          <w:color w:val="6E6158"/>
        </w:rPr>
        <w:t>Court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District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Arizona.</w:t>
      </w:r>
    </w:p>
    <w:p>
      <w:pPr>
        <w:pStyle w:val="BodyText"/>
        <w:spacing w:line="283" w:lineRule="auto"/>
        <w:ind w:left="99" w:right="644"/>
      </w:pPr>
      <w:r>
        <w:rPr>
          <w:color w:val="6E6158"/>
        </w:rPr>
        <w:t>She was also a teaching assistant for legal writing courses, a moot court competitor, and a staff</w:t>
      </w:r>
      <w:r>
        <w:rPr>
          <w:color w:val="6E6158"/>
          <w:spacing w:val="40"/>
        </w:rPr>
        <w:t> </w:t>
      </w:r>
      <w:r>
        <w:rPr>
          <w:color w:val="6E6158"/>
        </w:rPr>
        <w:t>writer and editor for the </w:t>
      </w:r>
      <w:r>
        <w:rPr>
          <w:i/>
          <w:color w:val="6E6158"/>
          <w:sz w:val="20"/>
        </w:rPr>
        <w:t>Arizona State Law Journal</w:t>
      </w:r>
      <w:r>
        <w:rPr>
          <w:color w:val="6E6158"/>
        </w:rPr>
        <w:t>.</w:t>
      </w:r>
    </w:p>
    <w:p>
      <w:pPr>
        <w:pStyle w:val="BodyText"/>
        <w:spacing w:line="292" w:lineRule="auto" w:before="205"/>
        <w:ind w:left="99" w:right="644"/>
      </w:pPr>
      <w:r>
        <w:rPr>
          <w:color w:val="6E6158"/>
        </w:rPr>
        <w:t>Lexie’s work reflects a deep commitment to client service and a nuanced understanding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landscape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health</w:t>
      </w:r>
      <w:r>
        <w:rPr>
          <w:color w:val="6E6158"/>
          <w:spacing w:val="27"/>
        </w:rPr>
        <w:t> </w:t>
      </w:r>
      <w:r>
        <w:rPr>
          <w:color w:val="6E6158"/>
        </w:rPr>
        <w:t>care,</w:t>
      </w:r>
      <w:r>
        <w:rPr>
          <w:color w:val="6E6158"/>
          <w:spacing w:val="27"/>
        </w:rPr>
        <w:t> </w:t>
      </w:r>
      <w:r>
        <w:rPr>
          <w:color w:val="6E6158"/>
        </w:rPr>
        <w:t>making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respected</w:t>
      </w:r>
      <w:r>
        <w:rPr>
          <w:color w:val="6E6158"/>
          <w:spacing w:val="27"/>
        </w:rPr>
        <w:t> </w:t>
      </w:r>
      <w:r>
        <w:rPr>
          <w:color w:val="6E6158"/>
        </w:rPr>
        <w:t>advisor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advocate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field.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351" w:right="27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64515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79951pt;width:1.65pt;height:1.65pt;mso-position-horizontal-relative:page;mso-position-vertical-relative:paragraph;z-index:15729152" id="docshape7" coordorigin="1670,102" coordsize="33,33" path="m1691,134l1682,134,1678,133,1671,126,1670,122,1670,113,1671,110,1678,103,1682,102,1691,102,1694,103,1701,110,1702,113,1702,118,1702,122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322881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3719pt;width:1.65pt;height:1.65pt;mso-position-horizontal-relative:page;mso-position-vertical-relative:paragraph;z-index:15729664" id="docshape8" coordorigin="1670,508" coordsize="33,33" path="m1691,541l1682,541,1678,539,1671,533,1670,529,1670,520,1671,516,1678,510,1682,508,1691,508,1694,510,1701,516,1702,520,1702,525,1702,529,1701,533,1694,539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Sandra Day O’ Connor College of Law, Arizona State </w:t>
      </w:r>
      <w:r>
        <w:rPr>
          <w:color w:val="6E6158"/>
        </w:rPr>
        <w:t>University</w:t>
      </w:r>
      <w:r>
        <w:rPr>
          <w:color w:val="6E6158"/>
        </w:rPr>
        <w:t> B.A., Colorado State University</w:t>
      </w:r>
    </w:p>
    <w:p>
      <w:pPr>
        <w:pStyle w:val="Heading1"/>
        <w:spacing w:before="27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351" w:right="7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64846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06034pt;width:1.65pt;height:1.65pt;mso-position-horizontal-relative:page;mso-position-vertical-relative:paragraph;z-index:15730176" id="docshape9" coordorigin="1670,102" coordsize="33,33" path="m1691,135l1682,135,1678,133,1671,127,1670,123,1670,114,1671,110,1678,104,1682,102,1691,102,1694,104,1701,110,1702,114,1702,118,1702,123,1701,127,1694,133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323212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49778pt;width:1.65pt;height:1.65pt;mso-position-horizontal-relative:page;mso-position-vertical-relative:paragraph;z-index:15730688" id="docshape10" coordorigin="1670,509" coordsize="33,33" path="m1691,542l1682,542,1678,540,1671,534,1670,530,1670,521,1671,517,1678,511,1682,509,1691,509,1694,511,1701,517,1702,521,1702,525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Health Care</w:t>
      </w:r>
    </w:p>
    <w:p>
      <w:pPr>
        <w:pStyle w:val="Heading1"/>
        <w:spacing w:before="29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left="351" w:right="6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1200" id="docshape11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Colorado’s New “Know Your Health-Care Practitioner Act” Takes Effect June 1,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2026</w:t>
        </w:r>
      </w:hyperlink>
      <w:r>
        <w:rPr>
          <w:color w:val="6E6158"/>
        </w:rPr>
        <w:t>,” Fennemore Blog, May 19, 2026</w:t>
      </w:r>
    </w:p>
    <w:p>
      <w:pPr>
        <w:pStyle w:val="BodyText"/>
        <w:spacing w:before="12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7"/>
        <w:rPr>
          <w:b/>
        </w:rPr>
      </w:pPr>
    </w:p>
    <w:p>
      <w:pPr>
        <w:spacing w:before="0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66149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208652pt;width:1.65pt;height:1.65pt;mso-position-horizontal-relative:page;mso-position-vertical-relative:paragraph;z-index:15731712" id="docshape12" coordorigin="1670,104" coordsize="33,33" path="m1691,137l1682,137,1678,135,1671,129,1670,125,1670,116,1671,112,1678,106,1682,104,1691,104,1694,106,1701,112,1702,116,1702,120,1702,125,1701,129,1694,135,1691,1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Stars,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Health Care,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2024-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351" w:right="34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64555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83112pt;width:1.65pt;height:1.65pt;mso-position-horizontal-relative:page;mso-position-vertical-relative:paragraph;z-index:15732224" id="docshape13" coordorigin="1670,102" coordsize="33,33" path="m1691,134l1682,134,1678,133,1671,126,1670,122,1670,113,1671,110,1678,103,1682,102,1691,102,1694,103,1701,110,1702,113,1702,118,1702,122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322921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26876pt;width:1.65pt;height:1.65pt;mso-position-horizontal-relative:page;mso-position-vertical-relative:paragraph;z-index:15732736" id="docshape14" coordorigin="1670,509" coordsize="33,33" path="m1691,541l1682,541,1678,539,1671,533,1670,529,1670,520,1671,516,1678,510,1682,509,1691,509,1694,510,1701,516,1702,520,1702,525,1702,529,1701,533,1694,539,1691,5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Colorado Bar Association: Health Law </w:t>
      </w:r>
      <w:r>
        <w:rPr>
          <w:color w:val="6E6158"/>
        </w:rPr>
        <w:t>Section Member, American Health Law Association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63546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3659pt;width:1.65pt;height:1.65pt;mso-position-horizontal-relative:page;mso-position-vertical-relative:paragraph;z-index:15733248" id="docshape15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Big</w:t>
      </w:r>
      <w:r>
        <w:rPr>
          <w:color w:val="6E6158"/>
          <w:spacing w:val="9"/>
        </w:rPr>
        <w:t> </w:t>
      </w:r>
      <w:r>
        <w:rPr>
          <w:color w:val="6E6158"/>
        </w:rPr>
        <w:t>Sister</w:t>
      </w:r>
      <w:r>
        <w:rPr>
          <w:color w:val="6E6158"/>
          <w:spacing w:val="9"/>
        </w:rPr>
        <w:t> </w:t>
      </w:r>
      <w:r>
        <w:rPr>
          <w:color w:val="6E6158"/>
        </w:rPr>
        <w:t>through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Brothers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9"/>
        </w:rPr>
        <w:t> </w:t>
      </w:r>
      <w:r>
        <w:rPr>
          <w:color w:val="6E6158"/>
        </w:rPr>
        <w:t>Sisters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64658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91243pt;width:1.65pt;height:1.65pt;mso-position-horizontal-relative:page;mso-position-vertical-relative:paragraph;z-index:15733760" id="docshape16" coordorigin="1670,102" coordsize="33,33" path="m1691,134l1682,134,1678,133,1671,126,1670,123,1670,114,1671,110,1678,103,1682,102,1691,102,1694,103,1701,110,1702,114,1702,118,1702,123,1701,126,1694,133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175098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7288pt;width:1.65pt;height:1.65pt;mso-position-horizontal-relative:page;mso-position-vertical-relative:paragraph;z-index:15734272" id="docshape1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9"/>
        </w:rPr>
        <w:t> </w:t>
      </w:r>
      <w:r>
        <w:rPr>
          <w:color w:val="6E6158"/>
        </w:rPr>
        <w:t>States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before="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59918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18026pt;width:1.65pt;height:1.65pt;mso-position-horizontal-relative:page;mso-position-vertical-relative:paragraph;z-index:15734784" id="docshape18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Spanish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Proficient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ldavis@fennemorelaw.com" TargetMode="External"/><Relationship Id="rId11" Type="http://schemas.openxmlformats.org/officeDocument/2006/relationships/hyperlink" Target="https://www.fennemorelaw.com/colorados-new-know-your-health-care-practitioner-act-takes-effect-june-1-2026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Lexie Davis - Fennemore</dc:title>
  <dcterms:created xsi:type="dcterms:W3CDTF">2026-05-19T22:13:58Z</dcterms:created>
  <dcterms:modified xsi:type="dcterms:W3CDTF">2026-05-19T22:13:58Z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2026-05-19T00:00:00Z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2026-05-19T00:00:00Z</vt:filetime>
  </property>
  <property fmtid="{D5CDD505-2E9C-101B-9397-08002B2CF9AE}" pid="6" name="Producer">
    <vt:lpwstr>Skia/PDF m146</vt:lpwstr>
  </property>
</Properties>
</file>