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76"/>
        <w:ind w:left="0"/>
        <w:rPr>
          <w:rFonts w:ascii="Times New Roman"/>
        </w:rPr>
      </w:pPr>
    </w:p>
    <w:p>
      <w:pPr>
        <w:pStyle w:val="BodyText"/>
        <w:spacing w:line="297" w:lineRule="auto" w:before="1"/>
        <w:ind w:left="99"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NEW26 Sean Hood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02298" y="763308"/>
                            <a:ext cx="171577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SEAN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T.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HOOD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Water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 Law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602.916.5475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602.916.5675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shood@fennemorelaw.com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55926" y="3482163"/>
                            <a:ext cx="297624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always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through.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Robert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Frost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(as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quoted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Arizona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Supreme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Court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Gila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III)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107315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SEAN</w:t>
                              </w:r>
                              <w:r>
                                <w:rPr>
                                  <w:b/>
                                  <w:color w:val="002E6B"/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T.</w:t>
                              </w:r>
                              <w:r>
                                <w:rPr>
                                  <w:b/>
                                  <w:color w:val="002E6B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4"/>
                                  <w:sz w:val="24"/>
                                </w:rPr>
                                <w:t>HOOD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NEW26 Sean Hood bio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113;top:-5016;width:2784;height:505" id="docshape6" coordorigin="7114,-5016" coordsize="2784,505" path="m9897,-4520l7114,-4520,7114,-4511,9897,-4511,9897,-4520xm9897,-5016l7114,-5016,7114,-5008,9897,-5008,9897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66;top:-5971;width:2702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SEAN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T.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HOOD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Water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 Law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244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602.916.5475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602.916.5675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shood@fennemorelaw.com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786;top:-1689;width:4687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always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through.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Robert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Frost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(as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quoted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by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Arizona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Supreme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Court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Gila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III)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690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SEAN</w:t>
                        </w:r>
                        <w:r>
                          <w:rPr>
                            <w:b/>
                            <w:color w:val="002E6B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T.</w:t>
                        </w:r>
                        <w:r>
                          <w:rPr>
                            <w:b/>
                            <w:color w:val="002E6B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4"/>
                            <w:sz w:val="24"/>
                          </w:rPr>
                          <w:t>HOOD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Sean chairs the firm’s water law practice, one of the preeminent water groups in the Western</w:t>
      </w:r>
      <w:r>
        <w:rPr>
          <w:color w:val="6E6158"/>
          <w:spacing w:val="40"/>
        </w:rPr>
        <w:t> </w:t>
      </w:r>
      <w:r>
        <w:rPr>
          <w:color w:val="6E6158"/>
        </w:rPr>
        <w:t>United States.</w:t>
      </w:r>
      <w:r>
        <w:rPr>
          <w:color w:val="6E6158"/>
          <w:spacing w:val="73"/>
        </w:rPr>
        <w:t> </w:t>
      </w:r>
      <w:r>
        <w:rPr>
          <w:color w:val="6E6158"/>
        </w:rPr>
        <w:t>A water lawyer and litigator, Sean has been recognized as “Lawyer of the Year” and a Band 1 practitioner by Chambers USA.</w:t>
      </w:r>
      <w:r>
        <w:rPr>
          <w:color w:val="6E6158"/>
          <w:spacing w:val="80"/>
        </w:rPr>
        <w:t> </w:t>
      </w:r>
      <w:r>
        <w:rPr>
          <w:color w:val="6E6158"/>
        </w:rPr>
        <w:t>He has an established strong track record of success in the courtroom (see Representative Cases, below) and in achieving advantageous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settlements.</w:t>
      </w:r>
    </w:p>
    <w:p>
      <w:pPr>
        <w:pStyle w:val="BodyText"/>
        <w:spacing w:line="295" w:lineRule="auto" w:before="191"/>
        <w:ind w:left="99" w:right="285"/>
      </w:pPr>
      <w:r>
        <w:rPr>
          <w:color w:val="6E6158"/>
        </w:rPr>
        <w:t>He has more than two decades of experience advising Fortune 500 companies and other</w:t>
      </w:r>
      <w:r>
        <w:rPr>
          <w:color w:val="6E6158"/>
          <w:spacing w:val="40"/>
        </w:rPr>
        <w:t> </w:t>
      </w:r>
      <w:r>
        <w:rPr>
          <w:color w:val="6E6158"/>
        </w:rPr>
        <w:t>businesses on a broad range of disputes involving water rights, environmental permitting,</w:t>
      </w:r>
      <w:r>
        <w:rPr>
          <w:color w:val="6E6158"/>
          <w:spacing w:val="40"/>
        </w:rPr>
        <w:t> </w:t>
      </w:r>
      <w:r>
        <w:rPr>
          <w:color w:val="6E6158"/>
        </w:rPr>
        <w:t>“business divorce” and other disputes involving partnership and shareholder interests, breach of</w:t>
      </w:r>
      <w:r>
        <w:rPr>
          <w:color w:val="6E6158"/>
          <w:spacing w:val="40"/>
        </w:rPr>
        <w:t> </w:t>
      </w:r>
      <w:r>
        <w:rPr>
          <w:color w:val="6E6158"/>
        </w:rPr>
        <w:t>contract, business torts, and real estate.</w:t>
      </w:r>
    </w:p>
    <w:p>
      <w:pPr>
        <w:pStyle w:val="BodyText"/>
        <w:spacing w:line="292" w:lineRule="auto" w:before="196"/>
        <w:ind w:left="99" w:right="285"/>
      </w:pPr>
      <w:r>
        <w:rPr>
          <w:color w:val="6E6158"/>
        </w:rPr>
        <w:t>Sean helps his clients acquire and protect their surface water and groundwater supplies used for</w:t>
      </w:r>
      <w:r>
        <w:rPr>
          <w:color w:val="6E6158"/>
          <w:spacing w:val="40"/>
        </w:rPr>
        <w:t> </w:t>
      </w:r>
      <w:r>
        <w:rPr>
          <w:color w:val="6E6158"/>
        </w:rPr>
        <w:t>mining,</w:t>
      </w:r>
      <w:r>
        <w:rPr>
          <w:color w:val="6E6158"/>
          <w:spacing w:val="32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development,</w:t>
      </w:r>
      <w:r>
        <w:rPr>
          <w:color w:val="6E6158"/>
          <w:spacing w:val="32"/>
        </w:rPr>
        <w:t> </w:t>
      </w:r>
      <w:r>
        <w:rPr>
          <w:color w:val="6E6158"/>
        </w:rPr>
        <w:t>M&amp;I,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agriculture.</w:t>
      </w:r>
      <w:r>
        <w:rPr>
          <w:color w:val="6E6158"/>
          <w:spacing w:val="80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has</w:t>
      </w:r>
      <w:r>
        <w:rPr>
          <w:color w:val="6E6158"/>
          <w:spacing w:val="32"/>
        </w:rPr>
        <w:t> </w:t>
      </w:r>
      <w:r>
        <w:rPr>
          <w:color w:val="6E6158"/>
        </w:rPr>
        <w:t>in-depth</w:t>
      </w:r>
      <w:r>
        <w:rPr>
          <w:color w:val="6E6158"/>
          <w:spacing w:val="32"/>
        </w:rPr>
        <w:t> </w:t>
      </w:r>
      <w:r>
        <w:rPr>
          <w:color w:val="6E6158"/>
        </w:rPr>
        <w:t>experience</w:t>
      </w:r>
      <w:r>
        <w:rPr>
          <w:color w:val="6E6158"/>
          <w:spacing w:val="32"/>
        </w:rPr>
        <w:t> </w:t>
      </w:r>
      <w:r>
        <w:rPr>
          <w:color w:val="6E6158"/>
        </w:rPr>
        <w:t>litigating</w:t>
      </w:r>
    </w:p>
    <w:p>
      <w:pPr>
        <w:pStyle w:val="BodyText"/>
        <w:spacing w:line="295" w:lineRule="auto" w:before="2"/>
        <w:ind w:left="99" w:right="379"/>
      </w:pPr>
      <w:r>
        <w:rPr>
          <w:color w:val="6E6158"/>
        </w:rPr>
        <w:t>complex water rights disputes including federal reserved water right claims, subflow, safe </w:t>
      </w:r>
      <w:r>
        <w:rPr>
          <w:color w:val="6E6158"/>
        </w:rPr>
        <w:t>yield</w:t>
      </w:r>
      <w:r>
        <w:rPr>
          <w:color w:val="6E6158"/>
          <w:spacing w:val="40"/>
        </w:rPr>
        <w:t> </w:t>
      </w:r>
      <w:r>
        <w:rPr>
          <w:color w:val="6E6158"/>
        </w:rPr>
        <w:t>determinations, and the Assured Water Supply program.</w:t>
      </w:r>
      <w:r>
        <w:rPr>
          <w:color w:val="6E6158"/>
          <w:spacing w:val="80"/>
        </w:rPr>
        <w:t> </w:t>
      </w:r>
      <w:r>
        <w:rPr>
          <w:color w:val="6E6158"/>
        </w:rPr>
        <w:t>These disputes are highly technical, often involving numeric groundwater modeling.</w:t>
      </w:r>
      <w:r>
        <w:rPr>
          <w:color w:val="6E6158"/>
          <w:spacing w:val="80"/>
        </w:rPr>
        <w:t> </w:t>
      </w:r>
      <w:r>
        <w:rPr>
          <w:color w:val="6E6158"/>
        </w:rPr>
        <w:t>He also litigates issues arising under various environmental laws, and has successfully defended land ownership interests in navigability for</w:t>
      </w:r>
      <w:r>
        <w:rPr>
          <w:color w:val="6E6158"/>
          <w:spacing w:val="40"/>
        </w:rPr>
        <w:t> </w:t>
      </w:r>
      <w:r>
        <w:rPr>
          <w:color w:val="6E6158"/>
        </w:rPr>
        <w:t>title proceedings under the Equal Footing Doctrine.</w:t>
      </w:r>
    </w:p>
    <w:p>
      <w:pPr>
        <w:pStyle w:val="BodyText"/>
        <w:spacing w:line="292" w:lineRule="auto" w:before="203"/>
        <w:ind w:left="99" w:right="285"/>
      </w:pPr>
      <w:r>
        <w:rPr>
          <w:color w:val="6E6158"/>
        </w:rPr>
        <w:t>He has wide-ranging trial experience in complex water rights litigation in state and federal </w:t>
      </w:r>
      <w:r>
        <w:rPr>
          <w:color w:val="6E6158"/>
        </w:rPr>
        <w:t>court,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served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lead</w:t>
      </w:r>
      <w:r>
        <w:rPr>
          <w:color w:val="6E6158"/>
          <w:spacing w:val="24"/>
        </w:rPr>
        <w:t> </w:t>
      </w:r>
      <w:r>
        <w:rPr>
          <w:color w:val="6E6158"/>
        </w:rPr>
        <w:t>counsel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each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first</w:t>
      </w:r>
      <w:r>
        <w:rPr>
          <w:color w:val="6E6158"/>
          <w:spacing w:val="24"/>
        </w:rPr>
        <w:t> </w:t>
      </w:r>
      <w:r>
        <w:rPr>
          <w:color w:val="6E6158"/>
        </w:rPr>
        <w:t>several</w:t>
      </w:r>
      <w:r>
        <w:rPr>
          <w:color w:val="6E6158"/>
          <w:spacing w:val="24"/>
        </w:rPr>
        <w:t> </w:t>
      </w:r>
      <w:r>
        <w:rPr>
          <w:color w:val="6E6158"/>
        </w:rPr>
        <w:t>trials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resolve</w:t>
      </w:r>
      <w:r>
        <w:rPr>
          <w:color w:val="6E6158"/>
          <w:spacing w:val="24"/>
        </w:rPr>
        <w:t> </w:t>
      </w:r>
      <w:r>
        <w:rPr>
          <w:color w:val="6E6158"/>
        </w:rPr>
        <w:t>contested</w:t>
      </w:r>
      <w:r>
        <w:rPr>
          <w:color w:val="6E6158"/>
          <w:spacing w:val="24"/>
        </w:rPr>
        <w:t> </w:t>
      </w:r>
      <w:r>
        <w:rPr>
          <w:color w:val="6E6158"/>
        </w:rPr>
        <w:t>water</w:t>
      </w:r>
      <w:r>
        <w:rPr>
          <w:color w:val="6E6158"/>
          <w:spacing w:val="24"/>
        </w:rPr>
        <w:t> </w:t>
      </w:r>
      <w:r>
        <w:rPr>
          <w:color w:val="6E6158"/>
        </w:rPr>
        <w:t>right claims in the Gila River General Stream Adjudication.</w:t>
      </w:r>
    </w:p>
    <w:p>
      <w:pPr>
        <w:pStyle w:val="BodyText"/>
        <w:spacing w:before="205"/>
        <w:ind w:left="99"/>
      </w:pPr>
      <w:r>
        <w:rPr>
          <w:color w:val="6E6158"/>
        </w:rPr>
        <w:t>Sean</w:t>
      </w:r>
      <w:r>
        <w:rPr>
          <w:color w:val="6E6158"/>
          <w:spacing w:val="11"/>
        </w:rPr>
        <w:t> </w:t>
      </w:r>
      <w:r>
        <w:rPr>
          <w:color w:val="6E6158"/>
        </w:rPr>
        <w:t>advises</w:t>
      </w:r>
      <w:r>
        <w:rPr>
          <w:color w:val="6E6158"/>
          <w:spacing w:val="11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wide</w:t>
      </w:r>
      <w:r>
        <w:rPr>
          <w:color w:val="6E6158"/>
          <w:spacing w:val="11"/>
        </w:rPr>
        <w:t> </w:t>
      </w:r>
      <w:r>
        <w:rPr>
          <w:color w:val="6E6158"/>
        </w:rPr>
        <w:t>range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Western</w:t>
      </w:r>
      <w:r>
        <w:rPr>
          <w:color w:val="6E6158"/>
          <w:spacing w:val="11"/>
        </w:rPr>
        <w:t> </w:t>
      </w:r>
      <w:r>
        <w:rPr>
          <w:color w:val="6E6158"/>
        </w:rPr>
        <w:t>water</w:t>
      </w:r>
      <w:r>
        <w:rPr>
          <w:color w:val="6E6158"/>
          <w:spacing w:val="12"/>
        </w:rPr>
        <w:t> </w:t>
      </w:r>
      <w:r>
        <w:rPr>
          <w:color w:val="6E6158"/>
        </w:rPr>
        <w:t>rights</w:t>
      </w:r>
      <w:r>
        <w:rPr>
          <w:color w:val="6E6158"/>
          <w:spacing w:val="11"/>
        </w:rPr>
        <w:t> </w:t>
      </w:r>
      <w:r>
        <w:rPr>
          <w:color w:val="6E6158"/>
        </w:rPr>
        <w:t>issues,</w:t>
      </w:r>
      <w:r>
        <w:rPr>
          <w:color w:val="6E6158"/>
          <w:spacing w:val="12"/>
        </w:rPr>
        <w:t> </w:t>
      </w:r>
      <w:r>
        <w:rPr>
          <w:color w:val="6E6158"/>
        </w:rPr>
        <w:t>including</w:t>
      </w:r>
      <w:r>
        <w:rPr>
          <w:color w:val="6E6158"/>
          <w:spacing w:val="11"/>
        </w:rPr>
        <w:t> </w:t>
      </w:r>
      <w:r>
        <w:rPr>
          <w:color w:val="6E6158"/>
        </w:rPr>
        <w:t>adjudication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line="292" w:lineRule="auto" w:before="52"/>
        <w:ind w:left="99" w:right="246"/>
      </w:pPr>
      <w:r>
        <w:rPr>
          <w:color w:val="6E6158"/>
        </w:rPr>
        <w:t>Arizona and California water rights and Colorado River issues, and he handles cases throughout</w:t>
      </w:r>
      <w:r>
        <w:rPr>
          <w:color w:val="6E6158"/>
          <w:spacing w:val="40"/>
        </w:rPr>
        <w:t> </w:t>
      </w:r>
      <w:r>
        <w:rPr>
          <w:color w:val="6E6158"/>
        </w:rPr>
        <w:t>the West.</w:t>
      </w:r>
      <w:r>
        <w:rPr>
          <w:color w:val="6E6158"/>
          <w:spacing w:val="76"/>
        </w:rPr>
        <w:t> </w:t>
      </w:r>
      <w:r>
        <w:rPr>
          <w:color w:val="6E6158"/>
        </w:rPr>
        <w:t>Sean practices regularly at the trial and appellate levels in state and federal courts, as well as before a variety of administrative boards and commissions.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285"/>
      </w:pPr>
      <w:r>
        <w:rPr>
          <w:color w:val="6E6158"/>
        </w:rPr>
        <w:t>He is also an author and commentator on various water resources topics, including </w:t>
      </w:r>
      <w:r>
        <w:rPr>
          <w:color w:val="6E6158"/>
        </w:rPr>
        <w:t>California’s</w:t>
      </w:r>
      <w:r>
        <w:rPr>
          <w:color w:val="6E6158"/>
          <w:spacing w:val="40"/>
        </w:rPr>
        <w:t> </w:t>
      </w:r>
      <w:r>
        <w:rPr>
          <w:color w:val="6E6158"/>
        </w:rPr>
        <w:t>Sustainable</w:t>
      </w:r>
      <w:r>
        <w:rPr>
          <w:color w:val="6E6158"/>
          <w:spacing w:val="40"/>
        </w:rPr>
        <w:t> </w:t>
      </w:r>
      <w:r>
        <w:rPr>
          <w:color w:val="6E6158"/>
        </w:rPr>
        <w:t>Groundwater</w:t>
      </w:r>
      <w:r>
        <w:rPr>
          <w:color w:val="6E6158"/>
          <w:spacing w:val="40"/>
        </w:rPr>
        <w:t>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</w:rPr>
        <w:t>Act</w:t>
      </w:r>
      <w:r>
        <w:rPr>
          <w:color w:val="6E6158"/>
          <w:spacing w:val="40"/>
        </w:rPr>
        <w:t> </w:t>
      </w:r>
      <w:r>
        <w:rPr>
          <w:color w:val="6E6158"/>
        </w:rPr>
        <w:t>(SGMA),</w:t>
      </w:r>
      <w:r>
        <w:rPr>
          <w:color w:val="6E6158"/>
          <w:spacing w:val="40"/>
        </w:rPr>
        <w:t> </w:t>
      </w:r>
      <w:r>
        <w:rPr>
          <w:color w:val="6E6158"/>
        </w:rPr>
        <w:t>Arizona</w:t>
      </w:r>
      <w:r>
        <w:rPr>
          <w:color w:val="6E6158"/>
          <w:spacing w:val="40"/>
        </w:rPr>
        <w:t> </w:t>
      </w:r>
      <w:r>
        <w:rPr>
          <w:color w:val="6E6158"/>
        </w:rPr>
        <w:t>groundwater</w:t>
      </w:r>
      <w:r>
        <w:rPr>
          <w:color w:val="6E6158"/>
          <w:spacing w:val="40"/>
        </w:rPr>
        <w:t> </w:t>
      </w:r>
      <w:r>
        <w:rPr>
          <w:color w:val="6E6158"/>
        </w:rPr>
        <w:t>management,</w:t>
      </w:r>
    </w:p>
    <w:p>
      <w:pPr>
        <w:pStyle w:val="BodyText"/>
        <w:spacing w:before="10"/>
        <w:ind w:left="99"/>
      </w:pPr>
      <w:r>
        <w:rPr>
          <w:color w:val="6E6158"/>
        </w:rPr>
        <w:t>desalination,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River.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left="99" w:right="285"/>
      </w:pPr>
      <w:r>
        <w:rPr>
          <w:color w:val="6E6158"/>
        </w:rPr>
        <w:t>When not in a court room, Sean is spending time with his wife and three children, coaching flag</w:t>
      </w:r>
      <w:r>
        <w:rPr>
          <w:color w:val="6E6158"/>
          <w:spacing w:val="40"/>
        </w:rPr>
        <w:t> </w:t>
      </w:r>
      <w:r>
        <w:rPr>
          <w:color w:val="6E6158"/>
        </w:rPr>
        <w:t>football,</w:t>
      </w:r>
      <w:r>
        <w:rPr>
          <w:color w:val="6E6158"/>
          <w:spacing w:val="25"/>
        </w:rPr>
        <w:t> </w:t>
      </w:r>
      <w:r>
        <w:rPr>
          <w:color w:val="6E6158"/>
        </w:rPr>
        <w:t>playing</w:t>
      </w:r>
      <w:r>
        <w:rPr>
          <w:color w:val="6E6158"/>
          <w:spacing w:val="25"/>
        </w:rPr>
        <w:t> </w:t>
      </w:r>
      <w:r>
        <w:rPr>
          <w:color w:val="6E6158"/>
        </w:rPr>
        <w:t>guitar</w:t>
      </w:r>
      <w:r>
        <w:rPr>
          <w:color w:val="6E6158"/>
          <w:spacing w:val="25"/>
        </w:rPr>
        <w:t> </w:t>
      </w:r>
      <w:r>
        <w:rPr>
          <w:color w:val="6E6158"/>
        </w:rPr>
        <w:t>with</w:t>
      </w:r>
      <w:r>
        <w:rPr>
          <w:color w:val="6E6158"/>
          <w:spacing w:val="25"/>
        </w:rPr>
        <w:t> </w:t>
      </w:r>
      <w:r>
        <w:rPr>
          <w:color w:val="6E6158"/>
        </w:rPr>
        <w:t>one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bands,</w:t>
      </w:r>
      <w:r>
        <w:rPr>
          <w:color w:val="6E6158"/>
          <w:spacing w:val="25"/>
        </w:rPr>
        <w:t> </w:t>
      </w:r>
      <w:r>
        <w:rPr>
          <w:color w:val="6E6158"/>
        </w:rPr>
        <w:t>or</w:t>
      </w:r>
      <w:r>
        <w:rPr>
          <w:color w:val="6E6158"/>
          <w:spacing w:val="25"/>
        </w:rPr>
        <w:t> </w:t>
      </w:r>
      <w:r>
        <w:rPr>
          <w:color w:val="6E6158"/>
        </w:rPr>
        <w:t>rooting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Notre</w:t>
      </w:r>
      <w:r>
        <w:rPr>
          <w:color w:val="6E6158"/>
          <w:spacing w:val="25"/>
        </w:rPr>
        <w:t> </w:t>
      </w:r>
      <w:r>
        <w:rPr>
          <w:color w:val="6E6158"/>
        </w:rPr>
        <w:t>Dame</w:t>
      </w:r>
      <w:r>
        <w:rPr>
          <w:color w:val="6E6158"/>
          <w:spacing w:val="25"/>
        </w:rPr>
        <w:t> </w:t>
      </w:r>
      <w:r>
        <w:rPr>
          <w:color w:val="6E6158"/>
        </w:rPr>
        <w:t>Fighting</w:t>
      </w:r>
      <w:r>
        <w:rPr>
          <w:color w:val="6E6158"/>
          <w:spacing w:val="25"/>
        </w:rPr>
        <w:t> </w:t>
      </w:r>
      <w:r>
        <w:rPr>
          <w:color w:val="6E6158"/>
        </w:rPr>
        <w:t>Irish.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7"/>
        <w:ind w:right="48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158046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613pt;width:1.65pt;height:1.65pt;mso-position-horizontal-relative:page;mso-position-vertical-relative:paragraph;z-index:15729152" id="docshape13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416412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8364pt;width:1.65pt;height:1.65pt;mso-position-horizontal-relative:page;mso-position-vertical-relative:paragraph;z-index:15729664" id="docshape14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with honors, Notre Dame Law </w:t>
      </w:r>
      <w:r>
        <w:rPr>
          <w:color w:val="6E6158"/>
        </w:rPr>
        <w:t>School</w:t>
      </w:r>
      <w:r>
        <w:rPr>
          <w:color w:val="6E6158"/>
        </w:rPr>
        <w:t> B.S., Santa Clara University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6"/>
        <w:ind w:right="73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157722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9118pt;width:1.65pt;height:1.65pt;mso-position-horizontal-relative:page;mso-position-vertical-relative:paragraph;z-index:15730176" id="docshape1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416088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2867pt;width:1.65pt;height:1.65pt;mso-position-horizontal-relative:page;mso-position-vertical-relative:paragraph;z-index:15730688" id="docshape16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674454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06628pt;width:1.65pt;height:1.65pt;mso-position-horizontal-relative:page;mso-position-vertical-relative:paragraph;z-index:15731200" id="docshape17" coordorigin="1670,1062" coordsize="33,33" path="m1691,1095l1682,1095,1678,1093,1671,1087,1670,1083,1670,1074,1671,1070,1678,1064,1682,1062,1691,1062,1694,1064,1701,1070,1702,1074,1702,1078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932819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450378pt;width:1.65pt;height:1.65pt;mso-position-horizontal-relative:page;mso-position-vertical-relative:paragraph;z-index:15731712" id="docshape18" coordorigin="1670,1469" coordsize="33,33" path="m1691,1502l1682,1502,1678,1500,1671,1494,1670,1490,1670,1481,1671,1477,1678,1471,1682,1469,1691,1469,1694,1471,1701,1477,1702,1481,1702,1485,1702,1490,1701,1494,1694,1500,1691,15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1196352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4.200974pt;width:1.65pt;height:1.65pt;mso-position-horizontal-relative:page;mso-position-vertical-relative:paragraph;z-index:15732224" id="docshape19" coordorigin="1670,1884" coordsize="33,33" path="m1691,1917l1682,1917,1678,1915,1671,1909,1670,1905,1670,1896,1671,1892,1678,1886,1682,1884,1691,1884,1694,1886,1701,1892,1702,1896,1702,1900,1702,1905,1701,1909,1694,1915,1691,19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Water Law Business Litigation Natural </w:t>
      </w:r>
      <w:r>
        <w:rPr>
          <w:color w:val="6E6158"/>
        </w:rPr>
        <w:t>Resources Mining Law </w:t>
      </w:r>
      <w:r>
        <w:rPr>
          <w:color w:val="6E6158"/>
          <w:spacing w:val="-2"/>
        </w:rPr>
        <w:t>Agribusiness</w:t>
      </w:r>
    </w:p>
    <w:p>
      <w:pPr>
        <w:pStyle w:val="Heading1"/>
        <w:spacing w:before="154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spacing w:line="288" w:lineRule="auto" w:before="137"/>
        <w:ind w:left="351" w:right="28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612721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8.245773pt;width:1.65pt;height:1.65pt;mso-position-horizontal-relative:page;mso-position-vertical-relative:paragraph;z-index:15732736" id="docshape20" coordorigin="1670,965" coordsize="33,33" path="m1691,997l1682,997,1678,996,1671,990,1670,986,1670,977,1671,973,1678,967,1682,965,1691,965,1694,967,1701,973,1702,977,1702,981,1702,986,1701,990,1694,996,1691,9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  <w:sz w:val="19"/>
          </w:rPr>
          <w:t>Served as legal counsel to the City of Chandler in</w:t>
        </w:r>
      </w:hyperlink>
      <w:r>
        <w:rPr>
          <w:color w:val="F5821F"/>
          <w:sz w:val="19"/>
        </w:rPr>
        <w:t> </w:t>
      </w:r>
      <w:hyperlink r:id="rId11">
        <w:r>
          <w:rPr>
            <w:i/>
            <w:color w:val="F5821F"/>
            <w:sz w:val="20"/>
          </w:rPr>
          <w:t>City of Chandler v. Roosevelt Water</w:t>
        </w:r>
      </w:hyperlink>
      <w:r>
        <w:rPr>
          <w:i/>
          <w:color w:val="F5821F"/>
          <w:sz w:val="20"/>
        </w:rPr>
        <w:t> </w:t>
      </w:r>
      <w:hyperlink r:id="rId11">
        <w:r>
          <w:rPr>
            <w:i/>
            <w:color w:val="F5821F"/>
            <w:sz w:val="20"/>
          </w:rPr>
          <w:t>Conservation District</w:t>
        </w:r>
      </w:hyperlink>
      <w:hyperlink r:id="rId11">
        <w:r>
          <w:rPr>
            <w:color w:val="F5821F"/>
            <w:sz w:val="19"/>
          </w:rPr>
          <w:t>, No. CV-24-0267-PR, 2026 WL 1141802 (Ariz. Apr. 28, 2026), where the</w:t>
        </w:r>
      </w:hyperlink>
      <w:r>
        <w:rPr>
          <w:color w:val="F5821F"/>
          <w:sz w:val="19"/>
        </w:rPr>
        <w:t> </w:t>
      </w:r>
      <w:hyperlink r:id="rId11">
        <w:r>
          <w:rPr>
            <w:color w:val="F5821F"/>
            <w:sz w:val="19"/>
          </w:rPr>
          <w:t>Arizona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Supreme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Court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declared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that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one-year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statute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limitations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in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A.R.S.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§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12-</w:t>
        </w:r>
        <w:r>
          <w:rPr>
            <w:color w:val="F5821F"/>
            <w:spacing w:val="-5"/>
            <w:sz w:val="19"/>
          </w:rPr>
          <w:t>821</w:t>
        </w:r>
      </w:hyperlink>
    </w:p>
    <w:p>
      <w:pPr>
        <w:pStyle w:val="BodyText"/>
        <w:spacing w:line="297" w:lineRule="auto" w:before="4"/>
        <w:ind w:right="246"/>
      </w:pPr>
      <w:hyperlink r:id="rId11">
        <w:r>
          <w:rPr>
            <w:color w:val="F5821F"/>
          </w:rPr>
          <w:t>does not apply to claims by a government-entity plaintiff against another government </w:t>
        </w:r>
        <w:r>
          <w:rPr>
            <w:color w:val="F5821F"/>
          </w:rPr>
          <w:t>entity,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helping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secure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ruling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that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preserves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flexibility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public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entities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resolve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disputes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without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the pressure of a strict one-year deadline.</w:t>
        </w:r>
      </w:hyperlink>
    </w:p>
    <w:p>
      <w:pPr>
        <w:pStyle w:val="BodyText"/>
        <w:spacing w:line="295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775519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1.064533pt;width:1.65pt;height:1.65pt;mso-position-horizontal-relative:page;mso-position-vertical-relative:paragraph;z-index:15733248" id="docshape21" coordorigin="1670,1221" coordsize="33,33" path="m1691,1254l1682,1254,1678,1252,1671,1246,1670,1242,1670,1233,1671,1229,1678,1223,1682,1221,1691,1221,1694,1223,1701,1229,1702,1233,1702,1238,1702,1242,1701,1246,1694,1252,1691,12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litigated Phase 1 of the Indian Wells Valley groundwater basin adjudication, designated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quantification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Navy’s</w:t>
      </w:r>
      <w:r>
        <w:rPr>
          <w:color w:val="6E6158"/>
          <w:spacing w:val="30"/>
        </w:rPr>
        <w:t> </w:t>
      </w:r>
      <w:r>
        <w:rPr>
          <w:color w:val="6E6158"/>
        </w:rPr>
        <w:t>federal</w:t>
      </w:r>
      <w:r>
        <w:rPr>
          <w:color w:val="6E6158"/>
          <w:spacing w:val="30"/>
        </w:rPr>
        <w:t> </w:t>
      </w:r>
      <w:r>
        <w:rPr>
          <w:color w:val="6E6158"/>
        </w:rPr>
        <w:t>reserved</w:t>
      </w:r>
      <w:r>
        <w:rPr>
          <w:color w:val="6E6158"/>
          <w:spacing w:val="30"/>
        </w:rPr>
        <w:t> </w:t>
      </w:r>
      <w:r>
        <w:rPr>
          <w:color w:val="6E6158"/>
        </w:rPr>
        <w:t>right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Naval</w:t>
      </w:r>
      <w:r>
        <w:rPr>
          <w:color w:val="6E6158"/>
          <w:spacing w:val="30"/>
        </w:rPr>
        <w:t> </w:t>
      </w:r>
      <w:r>
        <w:rPr>
          <w:color w:val="6E6158"/>
        </w:rPr>
        <w:t>Air</w:t>
      </w:r>
      <w:r>
        <w:rPr>
          <w:color w:val="6E6158"/>
          <w:spacing w:val="30"/>
        </w:rPr>
        <w:t> </w:t>
      </w:r>
      <w:r>
        <w:rPr>
          <w:color w:val="6E6158"/>
        </w:rPr>
        <w:t>Weapons Station China Lake (China Lake).</w:t>
      </w:r>
      <w:r>
        <w:rPr>
          <w:color w:val="6E6158"/>
          <w:spacing w:val="80"/>
        </w:rPr>
        <w:t> </w:t>
      </w:r>
      <w:r>
        <w:rPr>
          <w:color w:val="6E6158"/>
        </w:rPr>
        <w:t>China Lake is a Naval Base located in the Western Mojave Desert region of California.</w:t>
      </w:r>
      <w:r>
        <w:rPr>
          <w:color w:val="6E6158"/>
          <w:spacing w:val="80"/>
        </w:rPr>
        <w:t> </w:t>
      </w:r>
      <w:r>
        <w:rPr>
          <w:color w:val="6E6158"/>
        </w:rPr>
        <w:t>The Navy claimed a water right totaling nearly 7,000 acre-feet per year</w:t>
      </w:r>
      <w:r>
        <w:rPr>
          <w:color w:val="6E6158"/>
          <w:spacing w:val="22"/>
        </w:rPr>
        <w:t> </w:t>
      </w:r>
      <w:r>
        <w:rPr>
          <w:color w:val="6E6158"/>
        </w:rPr>
        <w:t>(AFY).</w:t>
      </w:r>
      <w:r>
        <w:rPr>
          <w:color w:val="6E6158"/>
          <w:spacing w:val="80"/>
        </w:rPr>
        <w:t> </w:t>
      </w:r>
      <w:r>
        <w:rPr>
          <w:color w:val="6E6158"/>
        </w:rPr>
        <w:t>After</w:t>
      </w:r>
      <w:r>
        <w:rPr>
          <w:color w:val="6E6158"/>
          <w:spacing w:val="22"/>
        </w:rPr>
        <w:t> </w:t>
      </w:r>
      <w:r>
        <w:rPr>
          <w:color w:val="6E6158"/>
        </w:rPr>
        <w:t>an</w:t>
      </w:r>
      <w:r>
        <w:rPr>
          <w:color w:val="6E6158"/>
          <w:spacing w:val="22"/>
        </w:rPr>
        <w:t> </w:t>
      </w:r>
      <w:r>
        <w:rPr>
          <w:color w:val="6E6158"/>
        </w:rPr>
        <w:t>eight-day</w:t>
      </w:r>
      <w:r>
        <w:rPr>
          <w:color w:val="6E6158"/>
          <w:spacing w:val="22"/>
        </w:rPr>
        <w:t> </w:t>
      </w:r>
      <w:r>
        <w:rPr>
          <w:color w:val="6E6158"/>
        </w:rPr>
        <w:t>bench</w:t>
      </w:r>
      <w:r>
        <w:rPr>
          <w:color w:val="6E6158"/>
          <w:spacing w:val="22"/>
        </w:rPr>
        <w:t> </w:t>
      </w:r>
      <w:r>
        <w:rPr>
          <w:color w:val="6E6158"/>
        </w:rPr>
        <w:t>trial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April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May</w:t>
      </w:r>
      <w:r>
        <w:rPr>
          <w:color w:val="6E6158"/>
          <w:spacing w:val="22"/>
        </w:rPr>
        <w:t> </w:t>
      </w:r>
      <w:r>
        <w:rPr>
          <w:color w:val="6E6158"/>
        </w:rPr>
        <w:t>2025,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court</w:t>
      </w:r>
      <w:r>
        <w:rPr>
          <w:color w:val="6E6158"/>
          <w:spacing w:val="22"/>
        </w:rPr>
        <w:t> </w:t>
      </w:r>
      <w:r>
        <w:rPr>
          <w:color w:val="6E6158"/>
        </w:rPr>
        <w:t>agreed</w:t>
      </w:r>
      <w:r>
        <w:rPr>
          <w:color w:val="6E6158"/>
          <w:spacing w:val="22"/>
        </w:rPr>
        <w:t> </w:t>
      </w:r>
      <w:r>
        <w:rPr>
          <w:color w:val="6E6158"/>
        </w:rPr>
        <w:t>with</w:t>
      </w:r>
      <w:r>
        <w:rPr>
          <w:color w:val="6E6158"/>
          <w:spacing w:val="22"/>
        </w:rPr>
        <w:t> </w:t>
      </w:r>
      <w:r>
        <w:rPr>
          <w:color w:val="6E6158"/>
        </w:rPr>
        <w:t>our</w:t>
      </w:r>
    </w:p>
    <w:p>
      <w:pPr>
        <w:pStyle w:val="BodyText"/>
        <w:spacing w:line="297" w:lineRule="auto"/>
        <w:ind w:right="285"/>
      </w:pPr>
      <w:r>
        <w:rPr>
          <w:color w:val="6E6158"/>
        </w:rPr>
        <w:t>client that the water right must be limited to 2,008 AFY.</w:t>
      </w:r>
      <w:r>
        <w:rPr>
          <w:color w:val="6E6158"/>
          <w:spacing w:val="80"/>
        </w:rPr>
        <w:t> </w:t>
      </w:r>
      <w:r>
        <w:rPr>
          <w:color w:val="6E6158"/>
        </w:rPr>
        <w:t>Case No. 30-2021-01187275, Superior Court of California, Orange County.</w:t>
      </w:r>
      <w:r>
        <w:rPr>
          <w:color w:val="6E6158"/>
          <w:spacing w:val="77"/>
        </w:rPr>
        <w:t> </w:t>
      </w:r>
      <w:r>
        <w:rPr>
          <w:color w:val="6E6158"/>
        </w:rPr>
        <w:t>See the order </w:t>
      </w:r>
      <w:hyperlink r:id="rId12">
        <w:r>
          <w:rPr>
            <w:color w:val="F5821F"/>
          </w:rPr>
          <w:t>here</w:t>
        </w:r>
      </w:hyperlink>
      <w:r>
        <w:rPr>
          <w:color w:val="6E6158"/>
        </w:rPr>
        <w:t>.</w:t>
      </w:r>
      <w:r>
        <w:rPr>
          <w:color w:val="6E6158"/>
          <w:spacing w:val="77"/>
        </w:rPr>
        <w:t> </w:t>
      </w:r>
      <w:r>
        <w:rPr>
          <w:color w:val="6E6158"/>
        </w:rPr>
        <w:t>Phase 2 is now underway, which will establish the safe yield of the groundwater basin.</w:t>
      </w:r>
    </w:p>
    <w:p>
      <w:pPr>
        <w:pStyle w:val="BodyText"/>
        <w:spacing w:before="118"/>
      </w:pPr>
      <w:r>
        <w:rPr>
          <w:color w:val="6E6158"/>
        </w:rPr>
        <w:t>Successfully</w:t>
      </w:r>
      <w:r>
        <w:rPr>
          <w:color w:val="6E6158"/>
          <w:spacing w:val="13"/>
        </w:rPr>
        <w:t> </w:t>
      </w:r>
      <w:r>
        <w:rPr>
          <w:color w:val="6E6158"/>
        </w:rPr>
        <w:t>opposed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United</w:t>
      </w:r>
      <w:r>
        <w:rPr>
          <w:color w:val="6E6158"/>
          <w:spacing w:val="13"/>
        </w:rPr>
        <w:t> </w:t>
      </w:r>
      <w:r>
        <w:rPr>
          <w:color w:val="6E6158"/>
        </w:rPr>
        <w:t>States’</w:t>
      </w:r>
      <w:r>
        <w:rPr>
          <w:color w:val="6E6158"/>
          <w:spacing w:val="14"/>
        </w:rPr>
        <w:t> </w:t>
      </w:r>
      <w:r>
        <w:rPr>
          <w:color w:val="6E6158"/>
        </w:rPr>
        <w:t>over-broad</w:t>
      </w:r>
      <w:r>
        <w:rPr>
          <w:color w:val="6E6158"/>
          <w:spacing w:val="14"/>
        </w:rPr>
        <w:t> </w:t>
      </w:r>
      <w:r>
        <w:rPr>
          <w:color w:val="6E6158"/>
        </w:rPr>
        <w:t>federal</w:t>
      </w:r>
      <w:r>
        <w:rPr>
          <w:color w:val="6E6158"/>
          <w:spacing w:val="13"/>
        </w:rPr>
        <w:t> </w:t>
      </w:r>
      <w:r>
        <w:rPr>
          <w:color w:val="6E6158"/>
        </w:rPr>
        <w:t>reserved</w:t>
      </w:r>
      <w:r>
        <w:rPr>
          <w:color w:val="6E6158"/>
          <w:spacing w:val="14"/>
        </w:rPr>
        <w:t> </w:t>
      </w:r>
      <w:r>
        <w:rPr>
          <w:color w:val="6E6158"/>
        </w:rPr>
        <w:t>right</w:t>
      </w:r>
      <w:r>
        <w:rPr>
          <w:color w:val="6E6158"/>
          <w:spacing w:val="14"/>
        </w:rPr>
        <w:t> </w:t>
      </w:r>
      <w:r>
        <w:rPr>
          <w:color w:val="6E6158"/>
        </w:rPr>
        <w:t>claim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Fort</w:t>
      </w:r>
    </w:p>
    <w:p>
      <w:pPr>
        <w:pStyle w:val="BodyText"/>
        <w:spacing w:line="290" w:lineRule="auto" w:before="52"/>
        <w:ind w:right="4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371541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25523pt;width:1.65pt;height:1.65pt;mso-position-horizontal-relative:page;mso-position-vertical-relative:paragraph;z-index:15733760" id="docshape22" coordorigin="1670,585" coordsize="33,33" path="m1691,618l1682,618,1678,616,1671,610,1670,606,1670,597,1671,593,1678,587,1682,585,1691,585,1694,587,1701,593,1702,597,1702,601,1702,606,1701,610,1694,616,1691,6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Huachuca, an Army base in southeastern Arizona.</w:t>
      </w:r>
      <w:r>
        <w:rPr>
          <w:color w:val="6E6158"/>
          <w:spacing w:val="80"/>
        </w:rPr>
        <w:t> </w:t>
      </w:r>
      <w:r>
        <w:rPr>
          <w:color w:val="6E6158"/>
        </w:rPr>
        <w:t>The United States claimed nearly 7,000 acre-feet per year (AFY) of groundwater.</w:t>
      </w:r>
      <w:r>
        <w:rPr>
          <w:color w:val="6E6158"/>
          <w:spacing w:val="40"/>
        </w:rPr>
        <w:t> </w:t>
      </w:r>
      <w:r>
        <w:rPr>
          <w:color w:val="6E6158"/>
        </w:rPr>
        <w:t>Following several years of litigation and several</w:t>
      </w:r>
      <w:r>
        <w:rPr>
          <w:color w:val="6E6158"/>
          <w:spacing w:val="40"/>
        </w:rPr>
        <w:t> </w:t>
      </w:r>
      <w:r>
        <w:rPr>
          <w:color w:val="6E6158"/>
        </w:rPr>
        <w:t>weeks of trial, the United States’ right was restricted to 1,548 AFY, </w:t>
      </w:r>
      <w:r>
        <w:rPr>
          <w:i/>
          <w:color w:val="6E6158"/>
          <w:sz w:val="20"/>
        </w:rPr>
        <w:t>i.e. </w:t>
      </w:r>
      <w:r>
        <w:rPr>
          <w:color w:val="6E6158"/>
        </w:rPr>
        <w:t>approximately an 80% reduction from its claimed quantity.</w:t>
      </w:r>
      <w:r>
        <w:rPr>
          <w:color w:val="6E6158"/>
          <w:spacing w:val="40"/>
        </w:rPr>
        <w:t> </w:t>
      </w:r>
      <w:r>
        <w:rPr>
          <w:i/>
          <w:color w:val="6E6158"/>
          <w:sz w:val="20"/>
        </w:rPr>
        <w:t>In re Fort Huachuca</w:t>
      </w:r>
      <w:r>
        <w:rPr>
          <w:color w:val="6E6158"/>
        </w:rPr>
        <w:t>, No. W1-11-605, Superior Court of Arizona, Maricopa County.</w:t>
      </w:r>
      <w:r>
        <w:rPr>
          <w:color w:val="6E6158"/>
          <w:spacing w:val="40"/>
        </w:rPr>
        <w:t> </w:t>
      </w:r>
      <w:r>
        <w:rPr>
          <w:color w:val="6E6158"/>
        </w:rPr>
        <w:t>See the order </w:t>
      </w:r>
      <w:hyperlink r:id="rId13">
        <w:r>
          <w:rPr>
            <w:color w:val="F5821F"/>
          </w:rPr>
          <w:t>here</w:t>
        </w:r>
      </w:hyperlink>
      <w:r>
        <w:rPr>
          <w:color w:val="6E6158"/>
        </w:rPr>
        <w:t>.</w:t>
      </w:r>
    </w:p>
    <w:p>
      <w:pPr>
        <w:pStyle w:val="BodyText"/>
        <w:spacing w:line="292" w:lineRule="auto" w:before="123"/>
        <w:ind w:right="2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685552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980549pt;width:1.65pt;height:1.65pt;mso-position-horizontal-relative:page;mso-position-vertical-relative:paragraph;z-index:15734272" id="docshape23" coordorigin="1670,1080" coordsize="33,33" path="m1691,1112l1682,1112,1678,1111,1671,1104,1670,1100,1670,1091,1671,1088,1678,1081,1682,1080,1691,1080,1694,1081,1701,1088,1702,1091,1702,1096,1702,1100,1701,1104,1694,1111,1691,111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opposed the United States’ claims to broad federal reserved water rights for the</w:t>
      </w:r>
      <w:r>
        <w:rPr>
          <w:color w:val="6E6158"/>
          <w:spacing w:val="80"/>
        </w:rPr>
        <w:t> </w:t>
      </w:r>
      <w:r>
        <w:rPr>
          <w:color w:val="6E6158"/>
        </w:rPr>
        <w:t>San Pedro Riparian National Conservation Area (SPRNCA).</w:t>
      </w:r>
      <w:r>
        <w:rPr>
          <w:color w:val="6E6158"/>
          <w:spacing w:val="80"/>
        </w:rPr>
        <w:t> </w:t>
      </w:r>
      <w:r>
        <w:rPr>
          <w:color w:val="6E6158"/>
        </w:rPr>
        <w:t>The trial court adopted our clients’ position concerning what stream flows are appropriate to meet the SPRNCA’s “minimal need”</w:t>
      </w:r>
      <w:r>
        <w:rPr>
          <w:color w:val="6E6158"/>
          <w:spacing w:val="40"/>
        </w:rPr>
        <w:t> </w:t>
      </w:r>
      <w:r>
        <w:rPr>
          <w:color w:val="6E6158"/>
        </w:rPr>
        <w:t>for water for the SPRNCA’s riparian vegetation, native fish, and avian populations.</w:t>
      </w:r>
      <w:r>
        <w:rPr>
          <w:color w:val="6E6158"/>
          <w:spacing w:val="80"/>
        </w:rPr>
        <w:t> </w:t>
      </w:r>
      <w:r>
        <w:rPr>
          <w:color w:val="6E6158"/>
        </w:rPr>
        <w:t>The court rejected the United States’ claims to significantly greater stream flows and water from other</w:t>
      </w:r>
      <w:r>
        <w:rPr>
          <w:color w:val="6E6158"/>
          <w:spacing w:val="40"/>
        </w:rPr>
        <w:t> </w:t>
      </w:r>
      <w:r>
        <w:rPr>
          <w:color w:val="6E6158"/>
        </w:rPr>
        <w:t>sources. </w:t>
      </w:r>
      <w:r>
        <w:rPr>
          <w:i/>
          <w:color w:val="6E6158"/>
          <w:sz w:val="20"/>
        </w:rPr>
        <w:t>In re San Pedro Riparian National Conservation Area</w:t>
      </w:r>
      <w:r>
        <w:rPr>
          <w:color w:val="6E6158"/>
        </w:rPr>
        <w:t>, No. W1-11-232, Superior Court</w:t>
      </w:r>
      <w:r>
        <w:rPr>
          <w:color w:val="6E6158"/>
          <w:spacing w:val="40"/>
        </w:rPr>
        <w:t> </w:t>
      </w:r>
      <w:r>
        <w:rPr>
          <w:color w:val="6E6158"/>
        </w:rPr>
        <w:t>of Arizona, Maricopa County.</w:t>
      </w:r>
      <w:r>
        <w:rPr>
          <w:color w:val="6E6158"/>
          <w:spacing w:val="40"/>
        </w:rPr>
        <w:t> </w:t>
      </w:r>
      <w:r>
        <w:rPr>
          <w:color w:val="6E6158"/>
        </w:rPr>
        <w:t>See the order </w:t>
      </w:r>
      <w:hyperlink r:id="rId14">
        <w:r>
          <w:rPr>
            <w:color w:val="F5821F"/>
          </w:rPr>
          <w:t>here</w:t>
        </w:r>
      </w:hyperlink>
      <w:r>
        <w:rPr>
          <w:color w:val="6E6158"/>
        </w:rPr>
        <w:t>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4784" id="docshape2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</w:t>
      </w:r>
      <w:r>
        <w:rPr>
          <w:color w:val="6E6158"/>
          <w:spacing w:val="17"/>
        </w:rPr>
        <w:t> </w:t>
      </w:r>
      <w:r>
        <w:rPr>
          <w:color w:val="6E6158"/>
        </w:rPr>
        <w:t>California</w:t>
      </w:r>
      <w:r>
        <w:rPr>
          <w:color w:val="6E6158"/>
          <w:spacing w:val="18"/>
        </w:rPr>
        <w:t> </w:t>
      </w:r>
      <w:r>
        <w:rPr>
          <w:color w:val="6E6158"/>
        </w:rPr>
        <w:t>water</w:t>
      </w:r>
      <w:r>
        <w:rPr>
          <w:color w:val="6E6158"/>
          <w:spacing w:val="18"/>
        </w:rPr>
        <w:t> </w:t>
      </w:r>
      <w:r>
        <w:rPr>
          <w:color w:val="6E6158"/>
        </w:rPr>
        <w:t>users</w:t>
      </w:r>
      <w:r>
        <w:rPr>
          <w:color w:val="6E6158"/>
          <w:spacing w:val="18"/>
        </w:rPr>
        <w:t> </w:t>
      </w:r>
      <w:r>
        <w:rPr>
          <w:color w:val="6E6158"/>
        </w:rPr>
        <w:t>with</w:t>
      </w:r>
      <w:r>
        <w:rPr>
          <w:color w:val="6E6158"/>
          <w:spacing w:val="18"/>
        </w:rPr>
        <w:t> </w:t>
      </w:r>
      <w:r>
        <w:rPr>
          <w:color w:val="6E6158"/>
        </w:rPr>
        <w:t>adjudicating</w:t>
      </w:r>
      <w:r>
        <w:rPr>
          <w:color w:val="6E6158"/>
          <w:spacing w:val="17"/>
        </w:rPr>
        <w:t> </w:t>
      </w:r>
      <w:r>
        <w:rPr>
          <w:color w:val="6E6158"/>
        </w:rPr>
        <w:t>basin-wide</w:t>
      </w:r>
      <w:r>
        <w:rPr>
          <w:color w:val="6E6158"/>
          <w:spacing w:val="18"/>
        </w:rPr>
        <w:t> </w:t>
      </w:r>
      <w:r>
        <w:rPr>
          <w:color w:val="6E6158"/>
        </w:rPr>
        <w:t>groundwater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rights.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356193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46719pt;width:1.65pt;height:1.65pt;mso-position-horizontal-relative:page;mso-position-vertical-relative:paragraph;z-index:15735296" id="docshape25" coordorigin="1670,561" coordsize="33,33" path="m1691,593l1682,593,1678,592,1671,586,1670,582,1670,573,1671,569,1678,563,1682,561,1691,561,1694,563,1701,569,1702,573,1702,577,1702,582,1701,586,1694,592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 California groundwater water users in connection with regulation by </w:t>
      </w:r>
      <w:r>
        <w:rPr>
          <w:color w:val="6E6158"/>
        </w:rPr>
        <w:t>Groundwater</w:t>
      </w:r>
      <w:r>
        <w:rPr>
          <w:color w:val="6E6158"/>
          <w:spacing w:val="40"/>
        </w:rPr>
        <w:t> </w:t>
      </w:r>
      <w:r>
        <w:rPr>
          <w:color w:val="6E6158"/>
        </w:rPr>
        <w:t>Sustainability</w:t>
      </w:r>
      <w:r>
        <w:rPr>
          <w:color w:val="6E6158"/>
          <w:spacing w:val="40"/>
        </w:rPr>
        <w:t> </w:t>
      </w:r>
      <w:r>
        <w:rPr>
          <w:color w:val="6E6158"/>
        </w:rPr>
        <w:t>Agencies</w:t>
      </w:r>
      <w:r>
        <w:rPr>
          <w:color w:val="6E6158"/>
          <w:spacing w:val="40"/>
        </w:rPr>
        <w:t> </w:t>
      </w:r>
      <w:r>
        <w:rPr>
          <w:color w:val="6E6158"/>
        </w:rPr>
        <w:t>(GSAs)</w:t>
      </w:r>
      <w:r>
        <w:rPr>
          <w:color w:val="6E6158"/>
          <w:spacing w:val="40"/>
        </w:rPr>
        <w:t> </w:t>
      </w:r>
      <w:r>
        <w:rPr>
          <w:color w:val="6E6158"/>
        </w:rPr>
        <w:t>pursuant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Sustainable</w:t>
      </w:r>
      <w:r>
        <w:rPr>
          <w:color w:val="6E6158"/>
          <w:spacing w:val="40"/>
        </w:rPr>
        <w:t> </w:t>
      </w:r>
      <w:r>
        <w:rPr>
          <w:color w:val="6E6158"/>
        </w:rPr>
        <w:t>Groundwater</w:t>
      </w:r>
      <w:r>
        <w:rPr>
          <w:color w:val="6E6158"/>
          <w:spacing w:val="40"/>
        </w:rPr>
        <w:t>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</w:rPr>
        <w:t>Act</w:t>
      </w:r>
    </w:p>
    <w:p>
      <w:pPr>
        <w:pStyle w:val="BodyText"/>
        <w:spacing w:line="224" w:lineRule="exact"/>
      </w:pPr>
      <w:r>
        <w:rPr>
          <w:color w:val="6E6158"/>
          <w:spacing w:val="-2"/>
        </w:rPr>
        <w:t>(SGMA).</w:t>
      </w:r>
    </w:p>
    <w:p>
      <w:pPr>
        <w:pStyle w:val="BodyText"/>
        <w:spacing w:line="292" w:lineRule="auto" w:before="174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263130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8964pt;width:1.65pt;height:1.65pt;mso-position-horizontal-relative:page;mso-position-vertical-relative:paragraph;z-index:15735808" id="docshape26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 Arizona developers in connection with regulation by the Arizona Department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Water Resources (ADWR) under the Assured Water Supply (AWS) program.</w:t>
      </w:r>
    </w:p>
    <w:p>
      <w:pPr>
        <w:pStyle w:val="BodyText"/>
        <w:spacing w:line="292" w:lineRule="auto" w:before="132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236090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9827pt;width:1.65pt;height:1.65pt;mso-position-horizontal-relative:page;mso-position-vertical-relative:paragraph;z-index:15736320" id="docshape27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 landowners in connection with the establishment of groundwater use </w:t>
      </w:r>
      <w:r>
        <w:rPr>
          <w:color w:val="6E6158"/>
        </w:rPr>
        <w:t>restrictions</w:t>
      </w:r>
      <w:r>
        <w:rPr>
          <w:color w:val="6E6158"/>
          <w:spacing w:val="40"/>
        </w:rPr>
        <w:t> </w:t>
      </w:r>
      <w:r>
        <w:rPr>
          <w:color w:val="6E6158"/>
        </w:rPr>
        <w:t>imposed</w:t>
      </w:r>
      <w:r>
        <w:rPr>
          <w:color w:val="6E6158"/>
          <w:spacing w:val="36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recent</w:t>
      </w:r>
      <w:r>
        <w:rPr>
          <w:color w:val="6E6158"/>
          <w:spacing w:val="36"/>
        </w:rPr>
        <w:t> </w:t>
      </w:r>
      <w:r>
        <w:rPr>
          <w:color w:val="6E6158"/>
        </w:rPr>
        <w:t>establishment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an</w:t>
      </w:r>
      <w:r>
        <w:rPr>
          <w:color w:val="6E6158"/>
          <w:spacing w:val="36"/>
        </w:rPr>
        <w:t> </w:t>
      </w:r>
      <w:r>
        <w:rPr>
          <w:color w:val="6E6158"/>
        </w:rPr>
        <w:t>Irrigation</w:t>
      </w:r>
      <w:r>
        <w:rPr>
          <w:color w:val="6E6158"/>
          <w:spacing w:val="36"/>
        </w:rPr>
        <w:t> </w:t>
      </w:r>
      <w:r>
        <w:rPr>
          <w:color w:val="6E6158"/>
        </w:rPr>
        <w:t>Non-Expansion</w:t>
      </w:r>
      <w:r>
        <w:rPr>
          <w:color w:val="6E6158"/>
          <w:spacing w:val="36"/>
        </w:rPr>
        <w:t> </w:t>
      </w:r>
      <w:r>
        <w:rPr>
          <w:color w:val="6E6158"/>
        </w:rPr>
        <w:t>Area</w:t>
      </w:r>
      <w:r>
        <w:rPr>
          <w:color w:val="6E6158"/>
          <w:spacing w:val="36"/>
        </w:rPr>
        <w:t> </w:t>
      </w:r>
      <w:r>
        <w:rPr>
          <w:color w:val="6E6158"/>
        </w:rPr>
        <w:t>(INA).</w:t>
      </w:r>
    </w:p>
    <w:p>
      <w:pPr>
        <w:pStyle w:val="BodyText"/>
        <w:spacing w:line="292" w:lineRule="auto" w:before="123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230553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3843pt;width:1.65pt;height:1.65pt;mso-position-horizontal-relative:page;mso-position-vertical-relative:paragraph;z-index:15736832" id="docshape28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 a number of industrial and agricultural water users in separate water </w:t>
      </w:r>
      <w:r>
        <w:rPr>
          <w:color w:val="6E6158"/>
        </w:rPr>
        <w:t>rights settlement efforts involving an array of competing water users.</w:t>
      </w:r>
    </w:p>
    <w:p>
      <w:pPr>
        <w:pStyle w:val="BodyText"/>
        <w:spacing w:line="292" w:lineRule="auto" w:before="131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416755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15388pt;width:1.65pt;height:1.65pt;mso-position-horizontal-relative:page;mso-position-vertical-relative:paragraph;z-index:15737344" id="docshape29" coordorigin="1670,656" coordsize="33,33" path="m1691,689l1682,689,1678,687,1671,681,1670,677,1670,668,1671,664,1678,658,1682,656,1691,656,1694,658,1701,664,1702,668,1702,673,1702,677,1701,681,1694,687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Defeated in their entirety dozens of individual federal reserved right claims asserted for a</w:t>
      </w:r>
      <w:r>
        <w:rPr>
          <w:color w:val="6E6158"/>
          <w:spacing w:val="40"/>
        </w:rPr>
        <w:t> </w:t>
      </w:r>
      <w:r>
        <w:rPr>
          <w:color w:val="6E6158"/>
        </w:rPr>
        <w:t>wilderness</w:t>
      </w:r>
      <w:r>
        <w:rPr>
          <w:color w:val="6E6158"/>
          <w:spacing w:val="35"/>
        </w:rPr>
        <w:t> </w:t>
      </w:r>
      <w:r>
        <w:rPr>
          <w:color w:val="6E6158"/>
        </w:rPr>
        <w:t>area</w:t>
      </w:r>
      <w:r>
        <w:rPr>
          <w:color w:val="6E6158"/>
          <w:spacing w:val="35"/>
        </w:rPr>
        <w:t> </w:t>
      </w:r>
      <w:r>
        <w:rPr>
          <w:color w:val="6E6158"/>
        </w:rPr>
        <w:t>by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federal</w:t>
      </w:r>
      <w:r>
        <w:rPr>
          <w:color w:val="6E6158"/>
          <w:spacing w:val="35"/>
        </w:rPr>
        <w:t> </w:t>
      </w:r>
      <w:r>
        <w:rPr>
          <w:color w:val="6E6158"/>
        </w:rPr>
        <w:t>government.</w:t>
      </w:r>
      <w:r>
        <w:rPr>
          <w:color w:val="6E6158"/>
          <w:spacing w:val="80"/>
        </w:rPr>
        <w:t> </w:t>
      </w:r>
      <w:r>
        <w:rPr>
          <w:color w:val="6E6158"/>
        </w:rPr>
        <w:t>Obtained</w:t>
      </w:r>
      <w:r>
        <w:rPr>
          <w:color w:val="6E6158"/>
          <w:spacing w:val="35"/>
        </w:rPr>
        <w:t> </w:t>
      </w:r>
      <w:r>
        <w:rPr>
          <w:color w:val="6E6158"/>
        </w:rPr>
        <w:t>summary</w:t>
      </w:r>
      <w:r>
        <w:rPr>
          <w:color w:val="6E6158"/>
          <w:spacing w:val="35"/>
        </w:rPr>
        <w:t> </w:t>
      </w:r>
      <w:r>
        <w:rPr>
          <w:color w:val="6E6158"/>
        </w:rPr>
        <w:t>judgment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separate claims to 34 individual water sources.</w:t>
      </w:r>
      <w:r>
        <w:rPr>
          <w:color w:val="6E6158"/>
          <w:spacing w:val="79"/>
        </w:rPr>
        <w:t> </w:t>
      </w:r>
      <w:r>
        <w:rPr>
          <w:color w:val="6E6158"/>
        </w:rPr>
        <w:t>Proceeded to trial on the claims that survived summary judgment, and defeated each remaining claim. See the order </w:t>
      </w:r>
      <w:hyperlink r:id="rId15">
        <w:r>
          <w:rPr>
            <w:color w:val="F5821F"/>
            <w:u w:val="single" w:color="6E6158"/>
          </w:rPr>
          <w:t>here</w:t>
        </w:r>
      </w:hyperlink>
      <w:r>
        <w:rPr>
          <w:color w:val="6E6158"/>
          <w:u w:val="none"/>
        </w:rPr>
        <w:t>.</w:t>
      </w:r>
    </w:p>
    <w:p>
      <w:pPr>
        <w:pStyle w:val="BodyText"/>
        <w:spacing w:line="292" w:lineRule="auto" w:before="133"/>
        <w:ind w:right="35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603815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7.54451pt;width:1.65pt;height:1.65pt;mso-position-horizontal-relative:page;mso-position-vertical-relative:paragraph;z-index:15737856" id="docshape30" coordorigin="1670,951" coordsize="33,33" path="m1691,983l1682,983,1678,982,1671,975,1670,972,1670,963,1671,959,1678,952,1682,951,1691,951,1694,952,1701,959,1702,963,1702,967,1702,972,1701,975,1694,982,1691,98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 proceedings concerning the test to estimate whether a well’s cone of depression has the potential to deplete stream flow, presented technical evidence successfully demonstrating that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numeric</w:t>
      </w:r>
      <w:r>
        <w:rPr>
          <w:color w:val="6E6158"/>
          <w:spacing w:val="29"/>
        </w:rPr>
        <w:t> </w:t>
      </w:r>
      <w:r>
        <w:rPr>
          <w:color w:val="6E6158"/>
        </w:rPr>
        <w:t>MODFLOW</w:t>
      </w:r>
      <w:r>
        <w:rPr>
          <w:color w:val="6E6158"/>
          <w:spacing w:val="29"/>
        </w:rPr>
        <w:t> </w:t>
      </w:r>
      <w:r>
        <w:rPr>
          <w:color w:val="6E6158"/>
        </w:rPr>
        <w:t>model</w:t>
      </w:r>
      <w:r>
        <w:rPr>
          <w:color w:val="6E6158"/>
          <w:spacing w:val="29"/>
        </w:rPr>
        <w:t> </w:t>
      </w:r>
      <w:r>
        <w:rPr>
          <w:color w:val="6E6158"/>
        </w:rPr>
        <w:t>should</w:t>
      </w:r>
      <w:r>
        <w:rPr>
          <w:color w:val="6E6158"/>
          <w:spacing w:val="29"/>
        </w:rPr>
        <w:t> </w:t>
      </w:r>
      <w:r>
        <w:rPr>
          <w:color w:val="6E6158"/>
        </w:rPr>
        <w:t>be</w:t>
      </w:r>
      <w:r>
        <w:rPr>
          <w:color w:val="6E6158"/>
          <w:spacing w:val="29"/>
        </w:rPr>
        <w:t> </w:t>
      </w:r>
      <w:r>
        <w:rPr>
          <w:color w:val="6E6158"/>
        </w:rPr>
        <w:t>used</w:t>
      </w:r>
      <w:r>
        <w:rPr>
          <w:color w:val="6E6158"/>
          <w:spacing w:val="29"/>
        </w:rPr>
        <w:t> </w:t>
      </w:r>
      <w:r>
        <w:rPr>
          <w:color w:val="6E6158"/>
        </w:rPr>
        <w:t>rather</w:t>
      </w:r>
      <w:r>
        <w:rPr>
          <w:color w:val="6E6158"/>
          <w:spacing w:val="29"/>
        </w:rPr>
        <w:t> </w:t>
      </w:r>
      <w:r>
        <w:rPr>
          <w:color w:val="6E6158"/>
        </w:rPr>
        <w:t>than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less-sophisticated</w:t>
      </w:r>
      <w:r>
        <w:rPr>
          <w:color w:val="6E6158"/>
          <w:spacing w:val="29"/>
        </w:rPr>
        <w:t> </w:t>
      </w:r>
      <w:r>
        <w:rPr>
          <w:color w:val="6E6158"/>
        </w:rPr>
        <w:t>(i.e.</w:t>
      </w:r>
      <w:r>
        <w:rPr>
          <w:color w:val="6E6158"/>
          <w:spacing w:val="29"/>
        </w:rPr>
        <w:t> </w:t>
      </w:r>
      <w:r>
        <w:rPr>
          <w:color w:val="6E6158"/>
        </w:rPr>
        <w:t>less</w:t>
      </w:r>
    </w:p>
    <w:p>
      <w:pPr>
        <w:pStyle w:val="BodyText"/>
        <w:spacing w:line="292" w:lineRule="auto" w:before="10"/>
        <w:ind w:right="412"/>
        <w:jc w:val="both"/>
      </w:pPr>
      <w:r>
        <w:rPr>
          <w:color w:val="6E6158"/>
        </w:rPr>
        <w:t>accurate) analytical model.</w:t>
      </w:r>
      <w:r>
        <w:rPr>
          <w:color w:val="6E6158"/>
          <w:spacing w:val="40"/>
        </w:rPr>
        <w:t> </w:t>
      </w:r>
      <w:r>
        <w:rPr>
          <w:color w:val="6E6158"/>
        </w:rPr>
        <w:t>Successfully argued that the cone of depression test does </w:t>
      </w:r>
      <w:r>
        <w:rPr>
          <w:color w:val="6E6158"/>
        </w:rPr>
        <w:t>not shift the burden of proof to the well owner to prove that its well is not pumping subflow. See the order </w:t>
      </w:r>
      <w:hyperlink r:id="rId16">
        <w:r>
          <w:rPr>
            <w:color w:val="F5821F"/>
            <w:u w:val="single" w:color="F5821F"/>
          </w:rPr>
          <w:t>here</w:t>
        </w:r>
      </w:hyperlink>
      <w:r>
        <w:rPr>
          <w:color w:val="6E6158"/>
          <w:u w:val="none"/>
        </w:rPr>
        <w:t>.</w:t>
      </w:r>
    </w:p>
    <w:p>
      <w:pPr>
        <w:pStyle w:val="BodyText"/>
        <w:spacing w:line="295" w:lineRule="auto" w:before="124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504994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763367pt;width:1.65pt;height:1.65pt;mso-position-horizontal-relative:page;mso-position-vertical-relative:paragraph;z-index:15738368" id="docshape31" coordorigin="1670,795" coordsize="33,33" path="m1691,828l1682,828,1678,826,1671,820,1670,816,1670,807,1671,803,1678,797,1682,795,1691,795,1694,797,1701,803,1702,807,1702,812,1702,816,1701,820,1694,826,1691,8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industrial water user in litigation concerning water beneath the San Pedro</w:t>
      </w:r>
      <w:r>
        <w:rPr>
          <w:color w:val="6E6158"/>
          <w:spacing w:val="80"/>
        </w:rPr>
        <w:t> </w:t>
      </w:r>
      <w:r>
        <w:rPr>
          <w:color w:val="6E6158"/>
        </w:rPr>
        <w:t>River that should be treated as groundwater rather than subflow. Through the presentation of</w:t>
      </w:r>
      <w:r>
        <w:rPr>
          <w:color w:val="6E6158"/>
          <w:spacing w:val="40"/>
        </w:rPr>
        <w:t> </w:t>
      </w:r>
      <w:r>
        <w:rPr>
          <w:color w:val="6E6158"/>
        </w:rPr>
        <w:t>expert testimony, demonstrated that the water beneath the stream alluvium must not be</w:t>
      </w:r>
      <w:r>
        <w:rPr>
          <w:color w:val="6E6158"/>
          <w:spacing w:val="40"/>
        </w:rPr>
        <w:t> </w:t>
      </w:r>
      <w:r>
        <w:rPr>
          <w:color w:val="6E6158"/>
        </w:rPr>
        <w:t>included in the Arizona Department of Water Resources’ (ADWR) representation of subflow,</w:t>
      </w:r>
      <w:r>
        <w:rPr>
          <w:color w:val="6E6158"/>
          <w:spacing w:val="40"/>
        </w:rPr>
        <w:t> </w:t>
      </w:r>
      <w:r>
        <w:rPr>
          <w:color w:val="6E6158"/>
        </w:rPr>
        <w:t>and must instead be treated as groundwater. See the order </w:t>
      </w:r>
      <w:hyperlink r:id="rId17">
        <w:r>
          <w:rPr>
            <w:color w:val="F5821F"/>
            <w:u w:val="single" w:color="6E6158"/>
          </w:rPr>
          <w:t>here</w:t>
        </w:r>
      </w:hyperlink>
      <w:r>
        <w:rPr>
          <w:color w:val="6E6158"/>
          <w:u w:val="none"/>
        </w:rPr>
        <w:t>.</w:t>
      </w:r>
    </w:p>
    <w:p>
      <w:pPr>
        <w:pStyle w:val="BodyText"/>
        <w:spacing w:line="295" w:lineRule="auto" w:before="129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596477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966705pt;width:1.65pt;height:1.65pt;mso-position-horizontal-relative:page;mso-position-vertical-relative:paragraph;z-index:15738880" id="docshape32" coordorigin="1670,939" coordsize="33,33" path="m1691,972l1682,972,1678,970,1671,964,1670,960,1670,951,1671,947,1678,941,1682,939,1691,939,1694,941,1701,947,1702,951,1702,956,1702,960,1701,964,1694,970,1691,9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Recently represented a real estate developer blocked from selling lots due to the sanitary</w:t>
      </w:r>
      <w:r>
        <w:rPr>
          <w:color w:val="6E6158"/>
          <w:spacing w:val="40"/>
        </w:rPr>
        <w:t> </w:t>
      </w:r>
      <w:r>
        <w:rPr>
          <w:color w:val="6E6158"/>
        </w:rPr>
        <w:t>district’s wrongful refusal to approve service.</w:t>
      </w:r>
      <w:r>
        <w:rPr>
          <w:color w:val="6E6158"/>
          <w:spacing w:val="40"/>
        </w:rPr>
        <w:t> </w:t>
      </w:r>
      <w:r>
        <w:rPr>
          <w:color w:val="6E6158"/>
        </w:rPr>
        <w:t>Conducted an expedited evidentiary </w:t>
      </w:r>
      <w:r>
        <w:rPr>
          <w:color w:val="6E6158"/>
        </w:rPr>
        <w:t>hearing</w:t>
      </w:r>
      <w:r>
        <w:rPr>
          <w:color w:val="6E6158"/>
          <w:spacing w:val="40"/>
        </w:rPr>
        <w:t> </w:t>
      </w:r>
      <w:r>
        <w:rPr>
          <w:color w:val="6E6158"/>
        </w:rPr>
        <w:t>and demonstrated for the Court that the district’s action constituted an illegal moratorium.</w:t>
      </w:r>
      <w:r>
        <w:rPr>
          <w:color w:val="6E6158"/>
          <w:spacing w:val="40"/>
        </w:rPr>
        <w:t> </w:t>
      </w:r>
      <w:r>
        <w:rPr>
          <w:color w:val="6E6158"/>
        </w:rPr>
        <w:t>Complete</w:t>
      </w:r>
      <w:r>
        <w:rPr>
          <w:color w:val="6E6158"/>
          <w:spacing w:val="26"/>
        </w:rPr>
        <w:t> </w:t>
      </w:r>
      <w:r>
        <w:rPr>
          <w:color w:val="6E6158"/>
        </w:rPr>
        <w:t>relief</w:t>
      </w:r>
      <w:r>
        <w:rPr>
          <w:color w:val="6E6158"/>
          <w:spacing w:val="26"/>
        </w:rPr>
        <w:t> </w:t>
      </w:r>
      <w:r>
        <w:rPr>
          <w:color w:val="6E6158"/>
        </w:rPr>
        <w:t>was</w:t>
      </w:r>
      <w:r>
        <w:rPr>
          <w:color w:val="6E6158"/>
          <w:spacing w:val="26"/>
        </w:rPr>
        <w:t> </w:t>
      </w:r>
      <w:r>
        <w:rPr>
          <w:color w:val="6E6158"/>
        </w:rPr>
        <w:t>obtained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client</w:t>
      </w:r>
      <w:r>
        <w:rPr>
          <w:color w:val="6E6158"/>
          <w:spacing w:val="26"/>
        </w:rPr>
        <w:t> </w:t>
      </w:r>
      <w:r>
        <w:rPr>
          <w:color w:val="6E6158"/>
        </w:rPr>
        <w:t>within</w:t>
      </w:r>
      <w:r>
        <w:rPr>
          <w:color w:val="6E6158"/>
          <w:spacing w:val="26"/>
        </w:rPr>
        <w:t> </w:t>
      </w:r>
      <w:r>
        <w:rPr>
          <w:color w:val="6E6158"/>
        </w:rPr>
        <w:t>weeks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filing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complaint.</w:t>
      </w:r>
      <w:r>
        <w:rPr>
          <w:color w:val="6E6158"/>
          <w:spacing w:val="26"/>
        </w:rPr>
        <w:t> </w:t>
      </w:r>
      <w:r>
        <w:rPr>
          <w:color w:val="6E6158"/>
        </w:rPr>
        <w:t>See</w:t>
      </w:r>
      <w:r>
        <w:rPr>
          <w:color w:val="6E6158"/>
          <w:spacing w:val="26"/>
        </w:rPr>
        <w:t> </w:t>
      </w:r>
      <w:r>
        <w:rPr>
          <w:color w:val="6E6158"/>
        </w:rPr>
        <w:t>the order </w:t>
      </w:r>
      <w:hyperlink r:id="rId18">
        <w:r>
          <w:rPr>
            <w:color w:val="F5821F"/>
            <w:u w:val="single" w:color="6E6158"/>
          </w:rPr>
          <w:t>here</w:t>
        </w:r>
      </w:hyperlink>
      <w:r>
        <w:rPr>
          <w:color w:val="6E6158"/>
          <w:u w:val="none"/>
        </w:rPr>
        <w:t>. Sean then prevailed in the Court of Appeals, and secured separate attorneys’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fees awards in both courts. See full Court of Appeals decision </w:t>
      </w:r>
      <w:hyperlink r:id="rId19">
        <w:r>
          <w:rPr>
            <w:color w:val="F5821F"/>
            <w:u w:val="single" w:color="6E6158"/>
          </w:rPr>
          <w:t>here.</w:t>
        </w:r>
      </w:hyperlink>
    </w:p>
    <w:p>
      <w:pPr>
        <w:pStyle w:val="BodyText"/>
        <w:spacing w:line="292" w:lineRule="auto" w:before="120"/>
        <w:ind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502837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593536pt;width:1.65pt;height:1.65pt;mso-position-horizontal-relative:page;mso-position-vertical-relative:paragraph;z-index:15739392" id="docshape33" coordorigin="1670,792" coordsize="33,33" path="m1691,824l1682,824,1678,823,1671,816,1670,813,1670,804,1671,800,1678,793,1682,792,1691,792,1694,793,1701,800,1702,804,1702,808,1702,813,1701,816,1694,823,1691,8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Acted as lead counsel in the first trial to resolve a set of contested water right claims in the 44</w:t>
      </w:r>
      <w:r>
        <w:rPr>
          <w:color w:val="6E6158"/>
          <w:spacing w:val="40"/>
        </w:rPr>
        <w:t> </w:t>
      </w:r>
      <w:r>
        <w:rPr>
          <w:color w:val="6E6158"/>
        </w:rPr>
        <w:t>year history of the Gila River General Stream Adjudication.</w:t>
      </w:r>
      <w:r>
        <w:rPr>
          <w:color w:val="6E6158"/>
          <w:spacing w:val="80"/>
        </w:rPr>
        <w:t> </w:t>
      </w:r>
      <w:r>
        <w:rPr>
          <w:color w:val="6E6158"/>
        </w:rPr>
        <w:t>Defeated a host of federal</w:t>
      </w:r>
      <w:r>
        <w:rPr>
          <w:color w:val="6E6158"/>
          <w:spacing w:val="80"/>
        </w:rPr>
        <w:t> </w:t>
      </w:r>
      <w:r>
        <w:rPr>
          <w:color w:val="6E6158"/>
        </w:rPr>
        <w:t>reserved right claims, including the Federal Government’s claim to all of the water that flows</w:t>
      </w:r>
      <w:r>
        <w:rPr>
          <w:color w:val="6E6158"/>
          <w:spacing w:val="40"/>
        </w:rPr>
        <w:t> </w:t>
      </w:r>
      <w:r>
        <w:rPr>
          <w:color w:val="6E6158"/>
        </w:rPr>
        <w:t>naturally within the wilderness area.</w:t>
      </w:r>
      <w:r>
        <w:rPr>
          <w:color w:val="6E6158"/>
          <w:spacing w:val="4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re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Aravaipa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Canyon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Wilderness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Area</w:t>
      </w:r>
      <w:r>
        <w:rPr>
          <w:color w:val="6E6158"/>
        </w:rPr>
        <w:t>, No. W1-11-3342, Superior Court of Arizona, Maricopa County. </w:t>
      </w:r>
      <w:hyperlink r:id="rId20">
        <w:r>
          <w:rPr>
            <w:color w:val="F5821F"/>
            <w:u w:val="single" w:color="6E6158"/>
          </w:rPr>
          <w:t>See full ruling</w:t>
        </w:r>
        <w:r>
          <w:rPr>
            <w:color w:val="F5821F"/>
            <w:spacing w:val="40"/>
            <w:u w:val="single" w:color="6E6158"/>
          </w:rPr>
          <w:t> </w:t>
        </w:r>
        <w:r>
          <w:rPr>
            <w:color w:val="F5821F"/>
            <w:u w:val="single" w:color="6E6158"/>
          </w:rPr>
          <w:t>here.</w:t>
        </w:r>
      </w:hyperlink>
    </w:p>
    <w:p>
      <w:pPr>
        <w:pStyle w:val="BodyText"/>
        <w:spacing w:line="292" w:lineRule="auto" w:before="127"/>
        <w:ind w:right="2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413904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590931pt;width:1.65pt;height:1.65pt;mso-position-horizontal-relative:page;mso-position-vertical-relative:paragraph;z-index:15739904" id="docshape34" coordorigin="1670,652" coordsize="33,33" path="m1691,684l1682,684,1678,683,1671,676,1670,673,1670,664,1671,660,1678,653,1682,652,1691,652,1694,653,1701,660,1702,664,1702,668,1702,673,1701,676,1694,683,1691,6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judicial determinations in another case concerning (1) the federal reserved right</w:t>
      </w:r>
      <w:r>
        <w:rPr>
          <w:color w:val="6E6158"/>
          <w:spacing w:val="40"/>
        </w:rPr>
        <w:t> </w:t>
      </w:r>
      <w:r>
        <w:rPr>
          <w:color w:val="6E6158"/>
        </w:rPr>
        <w:t>claimant’s obligation to account for available surface water supplies before obtaining a right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groundwater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(2)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limitations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water</w:t>
      </w:r>
      <w:r>
        <w:rPr>
          <w:color w:val="6E6158"/>
          <w:spacing w:val="25"/>
        </w:rPr>
        <w:t> </w:t>
      </w:r>
      <w:r>
        <w:rPr>
          <w:color w:val="6E6158"/>
        </w:rPr>
        <w:t>sources</w:t>
      </w:r>
      <w:r>
        <w:rPr>
          <w:color w:val="6E6158"/>
          <w:spacing w:val="25"/>
        </w:rPr>
        <w:t> </w:t>
      </w:r>
      <w:r>
        <w:rPr>
          <w:color w:val="6E6158"/>
        </w:rPr>
        <w:t>available</w:t>
      </w:r>
      <w:r>
        <w:rPr>
          <w:color w:val="6E6158"/>
          <w:spacing w:val="25"/>
        </w:rPr>
        <w:t> </w:t>
      </w:r>
      <w:r>
        <w:rPr>
          <w:color w:val="6E6158"/>
        </w:rPr>
        <w:t>to,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places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use for, federal reserved rights.</w:t>
      </w:r>
    </w:p>
    <w:p>
      <w:pPr>
        <w:pStyle w:val="BodyText"/>
        <w:spacing w:before="132"/>
      </w:pPr>
      <w:r>
        <w:rPr>
          <w:color w:val="6E6158"/>
        </w:rPr>
        <w:t>Successfully</w:t>
      </w:r>
      <w:r>
        <w:rPr>
          <w:color w:val="6E6158"/>
          <w:spacing w:val="13"/>
        </w:rPr>
        <w:t> </w:t>
      </w:r>
      <w:r>
        <w:rPr>
          <w:color w:val="6E6158"/>
        </w:rPr>
        <w:t>defended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large</w:t>
      </w:r>
      <w:r>
        <w:rPr>
          <w:color w:val="6E6158"/>
          <w:spacing w:val="13"/>
        </w:rPr>
        <w:t> </w:t>
      </w:r>
      <w:r>
        <w:rPr>
          <w:color w:val="6E6158"/>
        </w:rPr>
        <w:t>private</w:t>
      </w:r>
      <w:r>
        <w:rPr>
          <w:color w:val="6E6158"/>
          <w:spacing w:val="13"/>
        </w:rPr>
        <w:t> </w:t>
      </w:r>
      <w:r>
        <w:rPr>
          <w:color w:val="6E6158"/>
        </w:rPr>
        <w:t>landowner</w:t>
      </w:r>
      <w:r>
        <w:rPr>
          <w:color w:val="6E6158"/>
          <w:spacing w:val="14"/>
        </w:rPr>
        <w:t> </w:t>
      </w:r>
      <w:r>
        <w:rPr>
          <w:color w:val="6E6158"/>
        </w:rPr>
        <w:t>against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Arizona’s</w:t>
      </w:r>
      <w:r>
        <w:rPr>
          <w:color w:val="6E6158"/>
          <w:spacing w:val="14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line="295" w:lineRule="auto" w:before="52"/>
        <w:ind w:right="20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609456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7.988674pt;width:1.65pt;height:1.65pt;mso-position-horizontal-relative:page;mso-position-vertical-relative:paragraph;z-index:15740416" id="docshape35" coordorigin="1670,960" coordsize="33,33" path="m1691,992l1682,992,1678,991,1671,984,1670,981,1670,972,1671,968,1678,961,1682,960,1691,960,1694,961,1701,968,1702,972,1702,976,1702,981,1701,984,1694,991,1691,99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ownership of lands pursuant to the Equal Footing Doctrine. The dispute involved five </w:t>
      </w:r>
      <w:r>
        <w:rPr>
          <w:color w:val="6E6158"/>
        </w:rPr>
        <w:t>separate proceedings requiring the development of extensive historic evidence and technical reports, the presentation of expert witness testimony, the cross-examination of various adverse expert witnesses</w:t>
      </w:r>
      <w:r>
        <w:rPr>
          <w:color w:val="6E6158"/>
          <w:spacing w:val="32"/>
        </w:rPr>
        <w:t> </w:t>
      </w:r>
      <w:r>
        <w:rPr>
          <w:color w:val="6E6158"/>
        </w:rPr>
        <w:t>during</w:t>
      </w:r>
      <w:r>
        <w:rPr>
          <w:color w:val="6E6158"/>
          <w:spacing w:val="32"/>
        </w:rPr>
        <w:t> </w:t>
      </w:r>
      <w:r>
        <w:rPr>
          <w:color w:val="6E6158"/>
        </w:rPr>
        <w:t>several</w:t>
      </w:r>
      <w:r>
        <w:rPr>
          <w:color w:val="6E6158"/>
          <w:spacing w:val="32"/>
        </w:rPr>
        <w:t> </w:t>
      </w:r>
      <w:r>
        <w:rPr>
          <w:color w:val="6E6158"/>
        </w:rPr>
        <w:t>weeks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hearings.</w:t>
      </w:r>
      <w:r>
        <w:rPr>
          <w:color w:val="6E6158"/>
          <w:spacing w:val="32"/>
        </w:rPr>
        <w:t> </w:t>
      </w:r>
      <w:r>
        <w:rPr>
          <w:color w:val="6E6158"/>
        </w:rPr>
        <w:t>Based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these</w:t>
      </w:r>
      <w:r>
        <w:rPr>
          <w:color w:val="6E6158"/>
          <w:spacing w:val="32"/>
        </w:rPr>
        <w:t> </w:t>
      </w:r>
      <w:r>
        <w:rPr>
          <w:color w:val="6E6158"/>
        </w:rPr>
        <w:t>proceedings,</w:t>
      </w:r>
      <w:r>
        <w:rPr>
          <w:color w:val="6E6158"/>
          <w:spacing w:val="32"/>
        </w:rPr>
        <w:t> </w:t>
      </w:r>
      <w:r>
        <w:rPr>
          <w:color w:val="6E6158"/>
        </w:rPr>
        <w:t>it</w:t>
      </w:r>
      <w:r>
        <w:rPr>
          <w:color w:val="6E6158"/>
          <w:spacing w:val="32"/>
        </w:rPr>
        <w:t> </w:t>
      </w:r>
      <w:r>
        <w:rPr>
          <w:color w:val="6E6158"/>
        </w:rPr>
        <w:t>was</w:t>
      </w:r>
      <w:r>
        <w:rPr>
          <w:color w:val="6E6158"/>
          <w:spacing w:val="32"/>
        </w:rPr>
        <w:t> </w:t>
      </w:r>
      <w:r>
        <w:rPr>
          <w:color w:val="6E6158"/>
        </w:rPr>
        <w:t>determined</w:t>
      </w:r>
    </w:p>
    <w:p>
      <w:pPr>
        <w:spacing w:line="236" w:lineRule="exact" w:before="0"/>
        <w:ind w:left="351" w:right="0" w:firstLine="0"/>
        <w:jc w:val="both"/>
        <w:rPr>
          <w:i/>
          <w:sz w:val="20"/>
        </w:rPr>
      </w:pPr>
      <w:r>
        <w:rPr>
          <w:color w:val="6E6158"/>
          <w:sz w:val="19"/>
        </w:rPr>
        <w:t>that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does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not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own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lands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issue.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In Re: Determination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of </w:t>
      </w:r>
      <w:r>
        <w:rPr>
          <w:i/>
          <w:color w:val="6E6158"/>
          <w:spacing w:val="-2"/>
          <w:sz w:val="20"/>
        </w:rPr>
        <w:t>Navigability</w:t>
      </w:r>
    </w:p>
    <w:p>
      <w:pPr>
        <w:spacing w:after="0" w:line="236" w:lineRule="exact"/>
        <w:jc w:val="both"/>
        <w:rPr>
          <w:i/>
          <w:sz w:val="20"/>
        </w:rPr>
        <w:sectPr>
          <w:pgSz w:w="12240" w:h="15840"/>
          <w:pgMar w:top="500" w:bottom="280" w:left="1440" w:right="1440"/>
        </w:sectPr>
      </w:pPr>
    </w:p>
    <w:p>
      <w:pPr>
        <w:spacing w:line="288" w:lineRule="auto" w:before="73"/>
        <w:ind w:left="351" w:right="246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San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Pedro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River,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Santa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Cruz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River,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Gila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River,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Verde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River,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and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Salt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River</w:t>
      </w:r>
      <w:r>
        <w:rPr>
          <w:color w:val="6E6158"/>
          <w:spacing w:val="-2"/>
          <w:sz w:val="19"/>
        </w:rPr>
        <w:t>, </w:t>
      </w:r>
      <w:r>
        <w:rPr>
          <w:color w:val="6E6158"/>
          <w:sz w:val="19"/>
        </w:rPr>
        <w:t>Before the Arizona Navigable Stream Adjudication Commission.</w:t>
      </w:r>
    </w:p>
    <w:p>
      <w:pPr>
        <w:pStyle w:val="BodyText"/>
        <w:spacing w:line="292" w:lineRule="auto" w:before="136"/>
        <w:ind w:right="1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512983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0.392365pt;width:1.65pt;height:1.65pt;mso-position-horizontal-relative:page;mso-position-vertical-relative:paragraph;z-index:15740928" id="docshape36" coordorigin="1670,808" coordsize="33,33" path="m1691,840l1682,840,1678,839,1671,832,1670,829,1670,820,1671,816,1678,809,1682,808,1691,808,1694,809,1701,816,1702,820,1702,824,1702,829,1701,832,1694,839,1691,8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industrial client in successfully opposing a legal challenge to the Aquifer</w:t>
      </w:r>
      <w:r>
        <w:rPr>
          <w:color w:val="6E6158"/>
          <w:spacing w:val="40"/>
        </w:rPr>
        <w:t> </w:t>
      </w:r>
      <w:r>
        <w:rPr>
          <w:color w:val="6E6158"/>
        </w:rPr>
        <w:t>Protection Permit issued to the client by the Arizona Department of Environmental Quality. The</w:t>
      </w:r>
      <w:r>
        <w:rPr>
          <w:color w:val="6E6158"/>
          <w:spacing w:val="40"/>
        </w:rPr>
        <w:t> </w:t>
      </w:r>
      <w:r>
        <w:rPr>
          <w:color w:val="6E6158"/>
        </w:rPr>
        <w:t>case involved complex competing expert testimony concerning hydrologic issues and</w:t>
      </w:r>
      <w:r>
        <w:rPr>
          <w:color w:val="6E6158"/>
          <w:spacing w:val="40"/>
        </w:rPr>
        <w:t> </w:t>
      </w:r>
      <w:r>
        <w:rPr>
          <w:color w:val="6E6158"/>
        </w:rPr>
        <w:t>groundwater modeling. </w:t>
      </w:r>
      <w:r>
        <w:rPr>
          <w:i/>
          <w:color w:val="6E6158"/>
          <w:sz w:val="20"/>
        </w:rPr>
        <w:t>In re Aquifer Protection Permit No. : P-106100</w:t>
      </w:r>
      <w:r>
        <w:rPr>
          <w:color w:val="6E6158"/>
        </w:rPr>
        <w:t>, Nos. 12-002-WQAB, 12-003-WQAB,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12-004-WQAB</w:t>
      </w:r>
      <w:r>
        <w:rPr>
          <w:color w:val="6E6158"/>
          <w:spacing w:val="40"/>
        </w:rPr>
        <w:t> </w:t>
      </w:r>
      <w:r>
        <w:rPr>
          <w:color w:val="6E6158"/>
        </w:rPr>
        <w:t>(Consolidated),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Office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Administrative</w:t>
      </w:r>
      <w:r>
        <w:rPr>
          <w:color w:val="6E6158"/>
          <w:spacing w:val="40"/>
        </w:rPr>
        <w:t> </w:t>
      </w:r>
      <w:r>
        <w:rPr>
          <w:color w:val="6E6158"/>
        </w:rPr>
        <w:t>Hearings.</w:t>
      </w:r>
    </w:p>
    <w:p>
      <w:pPr>
        <w:pStyle w:val="BodyText"/>
        <w:spacing w:line="292" w:lineRule="auto" w:before="119"/>
        <w:ind w:right="285"/>
      </w:pPr>
      <w:r>
        <w:rPr>
          <w:color w:val="6E6158"/>
        </w:rPr>
        <w:t>Represented a national business in connection with an antitrust investigation concerning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merger</w:t>
      </w:r>
      <w:r>
        <w:rPr>
          <w:color w:val="6E6158"/>
          <w:spacing w:val="37"/>
        </w:rPr>
        <w:t> </w:t>
      </w:r>
      <w:r>
        <w:rPr>
          <w:color w:val="6E6158"/>
        </w:rPr>
        <w:t>involving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client’s</w:t>
      </w:r>
      <w:r>
        <w:rPr>
          <w:color w:val="6E6158"/>
          <w:spacing w:val="37"/>
        </w:rPr>
        <w:t> </w:t>
      </w:r>
      <w:r>
        <w:rPr>
          <w:color w:val="6E6158"/>
        </w:rPr>
        <w:t>two</w:t>
      </w:r>
      <w:r>
        <w:rPr>
          <w:color w:val="6E6158"/>
          <w:spacing w:val="37"/>
        </w:rPr>
        <w:t> </w:t>
      </w:r>
      <w:r>
        <w:rPr>
          <w:color w:val="6E6158"/>
        </w:rPr>
        <w:t>largest</w:t>
      </w:r>
      <w:r>
        <w:rPr>
          <w:color w:val="6E6158"/>
          <w:spacing w:val="37"/>
        </w:rPr>
        <w:t> </w:t>
      </w:r>
      <w:r>
        <w:rPr>
          <w:color w:val="6E6158"/>
        </w:rPr>
        <w:t>competitors.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representation</w:t>
      </w:r>
      <w:r>
        <w:rPr>
          <w:color w:val="6E6158"/>
          <w:spacing w:val="37"/>
        </w:rPr>
        <w:t> </w:t>
      </w:r>
      <w:r>
        <w:rPr>
          <w:color w:val="6E6158"/>
        </w:rPr>
        <w:t>involved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</w:p>
    <w:p>
      <w:pPr>
        <w:pStyle w:val="BodyText"/>
        <w:spacing w:line="297" w:lineRule="auto" w:before="1"/>
        <w:ind w:right="4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158239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9805pt;width:1.65pt;height:1.65pt;mso-position-horizontal-relative:page;mso-position-vertical-relative:paragraph;z-index:15741440" id="docshape3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development of evidence of relative market share and coordination with federal regulators</w:t>
      </w:r>
      <w:r>
        <w:rPr>
          <w:color w:val="6E6158"/>
          <w:spacing w:val="40"/>
        </w:rPr>
        <w:t> </w:t>
      </w:r>
      <w:r>
        <w:rPr>
          <w:color w:val="6E6158"/>
        </w:rPr>
        <w:t>to expose the ramifications of common ownership of the two competitors. The result of the</w:t>
      </w:r>
      <w:r>
        <w:rPr>
          <w:color w:val="6E6158"/>
          <w:spacing w:val="40"/>
        </w:rPr>
        <w:t> </w:t>
      </w:r>
      <w:r>
        <w:rPr>
          <w:color w:val="6E6158"/>
        </w:rPr>
        <w:t>investigation</w:t>
      </w:r>
      <w:r>
        <w:rPr>
          <w:color w:val="6E6158"/>
          <w:spacing w:val="33"/>
        </w:rPr>
        <w:t> </w:t>
      </w:r>
      <w:r>
        <w:rPr>
          <w:color w:val="6E6158"/>
        </w:rPr>
        <w:t>was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successful</w:t>
      </w:r>
      <w:r>
        <w:rPr>
          <w:color w:val="6E6158"/>
          <w:spacing w:val="33"/>
        </w:rPr>
        <w:t> </w:t>
      </w:r>
      <w:r>
        <w:rPr>
          <w:color w:val="6E6158"/>
        </w:rPr>
        <w:t>settlement</w:t>
      </w:r>
      <w:r>
        <w:rPr>
          <w:color w:val="6E6158"/>
          <w:spacing w:val="33"/>
        </w:rPr>
        <w:t> </w:t>
      </w:r>
      <w:r>
        <w:rPr>
          <w:color w:val="6E6158"/>
        </w:rPr>
        <w:t>requiring</w:t>
      </w:r>
      <w:r>
        <w:rPr>
          <w:color w:val="6E6158"/>
          <w:spacing w:val="33"/>
        </w:rPr>
        <w:t> </w:t>
      </w:r>
      <w:r>
        <w:rPr>
          <w:color w:val="6E6158"/>
        </w:rPr>
        <w:t>divestiture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one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competing</w:t>
      </w:r>
    </w:p>
    <w:p>
      <w:pPr>
        <w:pStyle w:val="BodyText"/>
        <w:spacing w:line="229" w:lineRule="exact"/>
      </w:pPr>
      <w:r>
        <w:rPr>
          <w:color w:val="6E6158"/>
          <w:spacing w:val="-2"/>
        </w:rPr>
        <w:t>businesses.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47"/>
        <w:ind w:left="351" w:right="20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261019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52681pt;width:1.65pt;height:1.65pt;mso-position-horizontal-relative:page;mso-position-vertical-relative:paragraph;z-index:15741952" id="docshape38" coordorigin="1670,411" coordsize="33,33" path="m1691,444l1682,444,1678,442,1671,436,1670,432,1670,423,1671,419,1678,413,1682,411,1691,411,1694,413,1701,419,1702,423,1702,427,1702,432,1701,436,1694,442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Commercial Litigation, Litigation – Environmental, Water Law, 2019-</w:t>
      </w:r>
      <w:r>
        <w:rPr>
          <w:color w:val="6E6158"/>
          <w:spacing w:val="-4"/>
          <w:sz w:val="19"/>
        </w:rPr>
        <w:t>2025</w:t>
      </w:r>
    </w:p>
    <w:p>
      <w:pPr>
        <w:spacing w:before="12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156454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19291pt;width:1.65pt;height:1.65pt;mso-position-horizontal-relative:page;mso-position-vertical-relative:paragraph;z-index:15742464" id="docshape39" coordorigin="1670,246" coordsize="33,33" path="m1691,279l1682,279,1678,277,1671,271,1670,267,1670,258,1671,254,1678,248,1682,246,1691,246,1694,248,1701,254,1702,258,1702,263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Lawyer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Water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5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spacing w:line="400" w:lineRule="auto" w:before="162"/>
        <w:ind w:left="351" w:right="345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173707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7737pt;width:1.65pt;height:1.65pt;mso-position-horizontal-relative:page;mso-position-vertical-relative:paragraph;z-index:15742976" id="docshape40" coordorigin="1670,274" coordsize="33,33" path="m1691,306l1682,306,1678,305,1671,298,1670,294,1670,285,1671,281,1678,275,1682,274,1691,274,1694,275,1701,281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432072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21488pt;width:1.65pt;height:1.65pt;mso-position-horizontal-relative:page;mso-position-vertical-relative:paragraph;z-index:15743488" id="docshape41" coordorigin="1670,680" coordsize="33,33" path="m1691,713l1682,713,1678,711,1671,705,1670,701,1670,692,1671,688,1678,682,1682,680,1691,680,1694,682,1701,688,1702,692,1702,697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705940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5.585835pt;width:1.65pt;height:1.65pt;mso-position-horizontal-relative:page;mso-position-vertical-relative:paragraph;z-index:15744000" id="docshape42" coordorigin="1670,1112" coordsize="33,33" path="m1691,1144l1682,1144,1678,1143,1671,1136,1670,1132,1670,1123,1671,1120,1678,1113,1682,1112,1691,1112,1694,1113,1701,1120,1702,1123,1702,1128,1702,1132,1701,1136,1694,1143,1691,1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974639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6.743271pt;width:1.65pt;height:1.65pt;mso-position-horizontal-relative:page;mso-position-vertical-relative:paragraph;z-index:15744512" id="docshape43" coordorigin="1670,1535" coordsize="33,33" path="m1691,1567l1682,1567,1678,1566,1671,1559,1670,1556,1670,1547,1671,1543,1678,1536,1682,1535,1691,1535,1694,1536,1701,1543,1702,1547,1702,1551,1702,1556,1701,1559,1694,1566,1691,15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 USA, </w:t>
      </w:r>
      <w:r>
        <w:rPr>
          <w:color w:val="6E6158"/>
          <w:sz w:val="19"/>
        </w:rPr>
        <w:t>Water Rights – Band 1, 2022-2024 </w:t>
      </w:r>
      <w:r>
        <w:rPr>
          <w:i/>
          <w:color w:val="6E6158"/>
          <w:sz w:val="20"/>
        </w:rPr>
        <w:t>Chambers USA, </w:t>
      </w:r>
      <w:r>
        <w:rPr>
          <w:color w:val="6E6158"/>
          <w:sz w:val="19"/>
        </w:rPr>
        <w:t>Leading Lawyers for Business, 2019-2022 </w: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z w:val="19"/>
        </w:rPr>
        <w:t>2026 </w:t>
      </w:r>
      <w:r>
        <w:rPr>
          <w:i/>
          <w:color w:val="6E6158"/>
          <w:sz w:val="20"/>
        </w:rPr>
        <w:t>Benchmark Litigation, </w:t>
      </w:r>
      <w:r>
        <w:rPr>
          <w:color w:val="6E6158"/>
          <w:sz w:val="19"/>
        </w:rPr>
        <w:t>Future Star, 2019</w:t>
      </w:r>
    </w:p>
    <w:p>
      <w:pPr>
        <w:spacing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71081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96985pt;width:1.65pt;height:1.65pt;mso-position-horizontal-relative:page;mso-position-vertical-relative:paragraph;z-index:15745024" id="docshape44" coordorigin="1670,112" coordsize="33,33" path="m1691,144l1682,144,1678,143,1671,137,1670,133,1670,124,1671,120,1678,114,1682,112,1691,112,1694,114,1701,120,1702,124,1702,128,1702,133,1701,137,1694,143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Litigator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40,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Future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2017-</w:t>
      </w:r>
      <w:r>
        <w:rPr>
          <w:color w:val="6E6158"/>
          <w:spacing w:val="-4"/>
          <w:sz w:val="19"/>
        </w:rPr>
        <w:t>2018</w:t>
      </w:r>
    </w:p>
    <w:p>
      <w:pPr>
        <w:spacing w:line="398" w:lineRule="auto" w:before="170"/>
        <w:ind w:left="351" w:right="4064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173735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9987pt;width:1.65pt;height:1.65pt;mso-position-horizontal-relative:page;mso-position-vertical-relative:paragraph;z-index:15745536" id="docshape45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447603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244347pt;width:1.65pt;height:1.65pt;mso-position-horizontal-relative:page;mso-position-vertical-relative:paragraph;z-index:15746048" id="docshape46" coordorigin="1670,705" coordsize="33,33" path="m1691,737l1682,737,1678,736,1671,729,1670,726,1670,717,1671,713,1678,706,1682,705,1691,705,1694,706,1701,713,1702,717,1702,721,1702,726,1701,729,1694,736,1691,7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716305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6.401978pt;width:1.65pt;height:1.65pt;mso-position-horizontal-relative:page;mso-position-vertical-relative:paragraph;z-index:15746560" id="docshape47" coordorigin="1670,1128" coordsize="33,33" path="m1691,1161l1682,1161,1678,1159,1671,1153,1670,1149,1670,1140,1671,1136,1678,1130,1682,1128,1691,1128,1694,1130,1701,1136,1702,1140,1702,1144,1702,1149,1701,1153,1694,1159,1691,11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Litigation</w:t>
      </w:r>
      <w:r>
        <w:rPr>
          <w:color w:val="6E6158"/>
          <w:sz w:val="19"/>
        </w:rPr>
        <w:t>, 40 &amp; Under Hot List, 2016, 2018 </w: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z w:val="19"/>
        </w:rPr>
        <w:t>2018 </w:t>
      </w:r>
      <w:r>
        <w:rPr>
          <w:i/>
          <w:color w:val="6E6158"/>
          <w:sz w:val="20"/>
        </w:rPr>
        <w:t>Benchmark, Rising Stars, </w:t>
      </w:r>
      <w:r>
        <w:rPr>
          <w:color w:val="6E6158"/>
          <w:sz w:val="19"/>
        </w:rPr>
        <w:t>2016</w:t>
      </w:r>
    </w:p>
    <w:p>
      <w:pPr>
        <w:pStyle w:val="BodyText"/>
        <w:spacing w:before="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82710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512639pt;width:1.65pt;height:1.65pt;mso-position-horizontal-relative:page;mso-position-vertical-relative:paragraph;z-index:15747072" id="docshape48" coordorigin="1670,130" coordsize="33,33" path="m1691,163l1682,163,1678,161,1671,155,1670,151,1670,142,1671,138,1678,132,1682,130,1691,130,1694,132,1701,138,1702,142,1702,147,1702,151,1701,155,1694,161,1691,1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245591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7891pt;width:1.65pt;height:1.65pt;mso-position-horizontal-relative:page;mso-position-vertical-relative:paragraph;z-index:15747584" id="docshape49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">
        <w:r>
          <w:rPr>
            <w:color w:val="F5821F"/>
          </w:rPr>
          <w:t>Commentator on Arizona Water Issues and Impacts on Phoenix-Area </w:t>
        </w:r>
        <w:r>
          <w:rPr>
            <w:color w:val="F5821F"/>
          </w:rPr>
          <w:t>Development</w:t>
        </w:r>
      </w:hyperlink>
      <w:r>
        <w:rPr>
          <w:color w:val="6E6158"/>
        </w:rPr>
        <w:t>, Compass’s The Review Morning Show, August 25, 2025</w:t>
      </w:r>
    </w:p>
    <w:p>
      <w:pPr>
        <w:pStyle w:val="BodyText"/>
        <w:spacing w:line="302" w:lineRule="auto" w:before="123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416552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9408pt;width:1.65pt;height:1.65pt;mso-position-horizontal-relative:page;mso-position-vertical-relative:paragraph;z-index:15748096" id="docshape50" coordorigin="1670,656" coordsize="33,33" path="m1691,689l1682,689,1678,687,1671,681,1670,677,1670,668,1671,664,1678,658,1682,656,1691,656,1694,658,1701,664,1702,668,1702,672,1702,677,1701,681,1694,687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“Quantifying the Federal Reserved Right Claims for Naval Air Weapons </w:t>
      </w:r>
      <w:r>
        <w:rPr>
          <w:color w:val="6E6158"/>
        </w:rPr>
        <w:t>Station China</w:t>
      </w:r>
      <w:r>
        <w:rPr>
          <w:color w:val="6E6158"/>
          <w:spacing w:val="37"/>
        </w:rPr>
        <w:t> </w:t>
      </w:r>
      <w:r>
        <w:rPr>
          <w:color w:val="6E6158"/>
        </w:rPr>
        <w:t>Lake</w:t>
      </w:r>
      <w:r>
        <w:rPr>
          <w:color w:val="6E6158"/>
          <w:spacing w:val="37"/>
        </w:rPr>
        <w:t> </w:t>
      </w:r>
      <w:r>
        <w:rPr>
          <w:color w:val="6E6158"/>
        </w:rPr>
        <w:t>//</w:t>
      </w:r>
      <w:r>
        <w:rPr>
          <w:color w:val="6E6158"/>
          <w:spacing w:val="37"/>
        </w:rPr>
        <w:t> </w:t>
      </w:r>
      <w:r>
        <w:rPr>
          <w:color w:val="6E6158"/>
        </w:rPr>
        <w:t>Interplay</w:t>
      </w:r>
      <w:r>
        <w:rPr>
          <w:color w:val="6E6158"/>
          <w:spacing w:val="37"/>
        </w:rPr>
        <w:t> </w:t>
      </w:r>
      <w:r>
        <w:rPr>
          <w:color w:val="6E6158"/>
        </w:rPr>
        <w:t>with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Sustainable</w:t>
      </w:r>
      <w:r>
        <w:rPr>
          <w:color w:val="6E6158"/>
          <w:spacing w:val="37"/>
        </w:rPr>
        <w:t> </w:t>
      </w:r>
      <w:r>
        <w:rPr>
          <w:color w:val="6E6158"/>
        </w:rPr>
        <w:t>Groundwater</w:t>
      </w:r>
      <w:r>
        <w:rPr>
          <w:color w:val="6E6158"/>
          <w:spacing w:val="37"/>
        </w:rPr>
        <w:t> </w:t>
      </w:r>
      <w:r>
        <w:rPr>
          <w:color w:val="6E6158"/>
        </w:rPr>
        <w:t>Management</w:t>
      </w:r>
      <w:r>
        <w:rPr>
          <w:color w:val="6E6158"/>
          <w:spacing w:val="37"/>
        </w:rPr>
        <w:t> </w:t>
      </w:r>
      <w:r>
        <w:rPr>
          <w:color w:val="6E6158"/>
        </w:rPr>
        <w:t>Act</w:t>
      </w:r>
      <w:r>
        <w:rPr>
          <w:color w:val="6E6158"/>
          <w:spacing w:val="37"/>
        </w:rPr>
        <w:t> </w:t>
      </w:r>
      <w:r>
        <w:rPr>
          <w:color w:val="6E6158"/>
        </w:rPr>
        <w:t>(SGMA);</w:t>
      </w:r>
    </w:p>
    <w:p>
      <w:pPr>
        <w:pStyle w:val="BodyText"/>
        <w:spacing w:line="292" w:lineRule="auto"/>
        <w:ind w:right="285"/>
      </w:pPr>
      <w:r>
        <w:rPr>
          <w:color w:val="6E6158"/>
        </w:rPr>
        <w:t>Compare and Contrast with the Claims for Fort Huachuca,” CLE International Arizona </w:t>
      </w:r>
      <w:r>
        <w:rPr>
          <w:color w:val="6E6158"/>
        </w:rPr>
        <w:t>Water</w:t>
      </w:r>
      <w:r>
        <w:rPr>
          <w:color w:val="6E6158"/>
          <w:spacing w:val="40"/>
        </w:rPr>
        <w:t> </w:t>
      </w:r>
      <w:r>
        <w:rPr>
          <w:color w:val="6E6158"/>
        </w:rPr>
        <w:t>Law Conference, August 8, 2025</w:t>
      </w:r>
    </w:p>
    <w:p>
      <w:pPr>
        <w:pStyle w:val="BodyText"/>
        <w:spacing w:line="302" w:lineRule="auto" w:before="114"/>
        <w:ind w:right="2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410834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349182pt;width:1.65pt;height:1.65pt;mso-position-horizontal-relative:page;mso-position-vertical-relative:paragraph;z-index:15748608" id="docshape51" coordorigin="1670,647" coordsize="33,33" path="m1691,680l1682,680,1678,678,1671,672,1670,668,1670,659,1671,655,1678,649,1682,647,1691,647,1694,649,1701,655,1702,659,1702,663,1702,668,1701,672,1694,678,1691,6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San Pedro Riparian National Conservation Area (‘SPRNCA’), Discussion of </w:t>
      </w:r>
      <w:r>
        <w:rPr>
          <w:color w:val="6E6158"/>
        </w:rPr>
        <w:t>the Adjudication</w:t>
      </w:r>
      <w:r>
        <w:rPr>
          <w:color w:val="6E6158"/>
          <w:spacing w:val="40"/>
        </w:rPr>
        <w:t> </w:t>
      </w:r>
      <w:r>
        <w:rPr>
          <w:color w:val="6E6158"/>
        </w:rPr>
        <w:t>Court’s</w:t>
      </w:r>
      <w:r>
        <w:rPr>
          <w:color w:val="6E6158"/>
          <w:spacing w:val="40"/>
        </w:rPr>
        <w:t> </w:t>
      </w:r>
      <w:r>
        <w:rPr>
          <w:color w:val="6E6158"/>
        </w:rPr>
        <w:t>Decision</w:t>
      </w:r>
      <w:r>
        <w:rPr>
          <w:color w:val="6E6158"/>
          <w:spacing w:val="40"/>
        </w:rPr>
        <w:t> </w:t>
      </w:r>
      <w:r>
        <w:rPr>
          <w:color w:val="6E6158"/>
        </w:rPr>
        <w:t>Concerning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United</w:t>
      </w:r>
      <w:r>
        <w:rPr>
          <w:color w:val="6E6158"/>
          <w:spacing w:val="40"/>
        </w:rPr>
        <w:t> </w:t>
      </w:r>
      <w:r>
        <w:rPr>
          <w:color w:val="6E6158"/>
        </w:rPr>
        <w:t>States’</w:t>
      </w:r>
      <w:r>
        <w:rPr>
          <w:color w:val="6E6158"/>
          <w:spacing w:val="40"/>
        </w:rPr>
        <w:t> </w:t>
      </w:r>
      <w:r>
        <w:rPr>
          <w:color w:val="6E6158"/>
        </w:rPr>
        <w:t>Federal</w:t>
      </w:r>
      <w:r>
        <w:rPr>
          <w:color w:val="6E6158"/>
          <w:spacing w:val="40"/>
        </w:rPr>
        <w:t> </w:t>
      </w:r>
      <w:r>
        <w:rPr>
          <w:color w:val="6E6158"/>
        </w:rPr>
        <w:t>Reserved</w:t>
      </w:r>
    </w:p>
    <w:p>
      <w:pPr>
        <w:pStyle w:val="BodyText"/>
        <w:spacing w:line="292" w:lineRule="auto"/>
        <w:ind w:right="379"/>
      </w:pPr>
      <w:r>
        <w:rPr>
          <w:color w:val="6E6158"/>
        </w:rPr>
        <w:t>Right Claims for the SPRNCA,” CLE International Arizona Water Law Conference, August 9,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7" w:lineRule="auto" w:before="114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317823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25497pt;width:1.65pt;height:1.65pt;mso-position-horizontal-relative:page;mso-position-vertical-relative:paragraph;z-index:15749120" id="docshape52" coordorigin="1670,501" coordsize="33,33" path="m1691,533l1682,533,1678,531,1671,525,1670,521,1670,512,1671,508,1678,502,1682,501,1691,501,1694,502,1701,508,1702,512,1702,517,1702,521,1701,525,1694,531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“Status of Navigability for Title Proceedings – Application of The Equal Footing</w:t>
      </w:r>
      <w:r>
        <w:rPr>
          <w:color w:val="6E6158"/>
          <w:spacing w:val="40"/>
        </w:rPr>
        <w:t> </w:t>
      </w:r>
      <w:r>
        <w:rPr>
          <w:color w:val="6E6158"/>
        </w:rPr>
        <w:t>Doctrine to Arizona’s Watercourses,” CLE International Arizona Water Law Conference, </w:t>
      </w:r>
      <w:r>
        <w:rPr>
          <w:color w:val="6E6158"/>
        </w:rPr>
        <w:t>August</w:t>
      </w:r>
      <w:r>
        <w:rPr>
          <w:color w:val="6E6158"/>
          <w:spacing w:val="80"/>
        </w:rPr>
        <w:t> </w:t>
      </w:r>
      <w:r>
        <w:rPr>
          <w:color w:val="6E6158"/>
        </w:rPr>
        <w:t>4, 2023</w:t>
      </w:r>
    </w:p>
    <w:p>
      <w:pPr>
        <w:pStyle w:val="BodyText"/>
        <w:spacing w:after="0" w:line="29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50144" id="docshape53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“Top 10 Arizona Water Rights Lawyers Influencing Environmental Law in </w:t>
      </w:r>
      <w:r>
        <w:rPr>
          <w:color w:val="6E6158"/>
        </w:rPr>
        <w:t>2023,” Business Today, July 14, 2023</w:t>
      </w:r>
    </w:p>
    <w:p>
      <w:pPr>
        <w:pStyle w:val="BodyText"/>
        <w:spacing w:line="292" w:lineRule="auto" w:before="132"/>
        <w:ind w:right="2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50656" id="docshape5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">
        <w:r>
          <w:rPr>
            <w:color w:val="F5821F"/>
          </w:rPr>
          <w:t>Author, “Here’s how Arizona’s water future depends on new water supplies,” AZ Big Media,</w:t>
        </w:r>
      </w:hyperlink>
      <w:r>
        <w:rPr>
          <w:color w:val="F5821F"/>
        </w:rPr>
        <w:t> </w:t>
      </w:r>
      <w:hyperlink r:id="rId22">
        <w:r>
          <w:rPr>
            <w:color w:val="F5821F"/>
          </w:rPr>
          <w:t>June 20, 2023</w:t>
        </w:r>
      </w:hyperlink>
    </w:p>
    <w:p>
      <w:pPr>
        <w:pStyle w:val="BodyText"/>
        <w:spacing w:line="278" w:lineRule="auto" w:before="113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230654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783pt;width:1.65pt;height:1.65pt;mso-position-horizontal-relative:page;mso-position-vertical-relative:paragraph;z-index:15751168" id="docshape55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">
        <w:r>
          <w:rPr>
            <w:color w:val="F5821F"/>
          </w:rPr>
          <w:t>Author, “Arizona’s water future: We must plan solutions for a host of challenges,”</w:t>
        </w:r>
      </w:hyperlink>
      <w:r>
        <w:rPr>
          <w:color w:val="F5821F"/>
        </w:rPr>
        <w:t> </w:t>
      </w:r>
      <w:hyperlink r:id="rId23">
        <w:r>
          <w:rPr>
            <w:i/>
            <w:color w:val="F5821F"/>
            <w:sz w:val="20"/>
          </w:rPr>
          <w:t>Phoenix</w:t>
        </w:r>
      </w:hyperlink>
      <w:r>
        <w:rPr>
          <w:i/>
          <w:color w:val="F5821F"/>
          <w:sz w:val="20"/>
        </w:rPr>
        <w:t> </w:t>
      </w:r>
      <w:hyperlink r:id="rId23">
        <w:r>
          <w:rPr>
            <w:i/>
            <w:color w:val="F5821F"/>
            <w:sz w:val="20"/>
          </w:rPr>
          <w:t>Business Journal</w:t>
        </w:r>
      </w:hyperlink>
      <w:hyperlink r:id="rId23">
        <w:r>
          <w:rPr>
            <w:color w:val="F5821F"/>
          </w:rPr>
          <w:t>, June 15, 2023</w:t>
        </w:r>
      </w:hyperlink>
    </w:p>
    <w:p>
      <w:pPr>
        <w:pStyle w:val="BodyText"/>
        <w:spacing w:line="420" w:lineRule="auto" w:before="141"/>
        <w:ind w:right="1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149025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34286pt;width:1.65pt;height:1.65pt;mso-position-horizontal-relative:page;mso-position-vertical-relative:paragraph;z-index:15751680" id="docshape56" coordorigin="1670,235" coordsize="33,33" path="m1691,267l1682,267,1678,266,1671,259,1670,255,1670,246,1671,243,1678,236,1682,235,1691,235,1694,236,1701,243,1702,246,1702,251,1702,255,1701,259,1694,266,1691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407393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78213pt;width:1.65pt;height:1.65pt;mso-position-horizontal-relative:page;mso-position-vertical-relative:paragraph;z-index:15752192" id="docshape57" coordorigin="1670,642" coordsize="33,33" path="m1691,674l1682,674,1678,673,1671,666,1670,662,1670,653,1671,650,1678,643,1682,642,1691,642,1694,643,1701,650,1702,653,1702,658,1702,662,1701,666,1694,673,1691,67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Future of Arizona Water: Panel with Local Leaders,” May 16, 2023 Featured, “Law Rocks,” Lawrocks.org, October 7, 2022</w:t>
      </w:r>
    </w:p>
    <w:p>
      <w:pPr>
        <w:spacing w:line="288" w:lineRule="auto" w:before="0"/>
        <w:ind w:left="351" w:right="24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151491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28478pt;width:1.65pt;height:1.65pt;mso-position-horizontal-relative:page;mso-position-vertical-relative:paragraph;z-index:15752704" id="docshape58" coordorigin="1670,239" coordsize="33,33" path="m1691,271l1682,271,1678,270,1671,263,1670,259,1670,250,1671,247,1678,240,1682,239,1691,239,1694,240,1701,247,1702,250,1702,255,1702,259,1701,263,1694,270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4">
        <w:r>
          <w:rPr>
            <w:color w:val="F5821F"/>
            <w:sz w:val="19"/>
          </w:rPr>
          <w:t>Quoted, “Arizona Must Develop New Water Supplies Now,”</w:t>
        </w:r>
      </w:hyperlink>
      <w:r>
        <w:rPr>
          <w:color w:val="F5821F"/>
          <w:sz w:val="19"/>
        </w:rPr>
        <w:t> </w:t>
      </w:r>
      <w:hyperlink r:id="rId24">
        <w:r>
          <w:rPr>
            <w:i/>
            <w:color w:val="F5821F"/>
            <w:sz w:val="20"/>
          </w:rPr>
          <w:t>Arizona Capitol Times</w:t>
        </w:r>
      </w:hyperlink>
      <w:hyperlink r:id="rId24">
        <w:r>
          <w:rPr>
            <w:color w:val="F5821F"/>
            <w:sz w:val="19"/>
          </w:rPr>
          <w:t>, </w:t>
        </w:r>
        <w:r>
          <w:rPr>
            <w:color w:val="F5821F"/>
            <w:sz w:val="19"/>
          </w:rPr>
          <w:t>September</w:t>
        </w:r>
      </w:hyperlink>
      <w:r>
        <w:rPr>
          <w:color w:val="F5821F"/>
          <w:sz w:val="19"/>
        </w:rPr>
        <w:t> </w:t>
      </w:r>
      <w:hyperlink r:id="rId24">
        <w:r>
          <w:rPr>
            <w:color w:val="F5821F"/>
            <w:sz w:val="19"/>
          </w:rPr>
          <w:t>16, 2022</w:t>
        </w:r>
      </w:hyperlink>
    </w:p>
    <w:p>
      <w:pPr>
        <w:pStyle w:val="BodyText"/>
        <w:spacing w:line="292" w:lineRule="auto" w:before="124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231518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29811pt;width:1.65pt;height:1.65pt;mso-position-horizontal-relative:page;mso-position-vertical-relative:paragraph;z-index:15753216" id="docshape59" coordorigin="1670,365" coordsize="33,33" path="m1691,397l1682,397,1678,396,1671,389,1670,385,1670,376,1671,373,1678,366,1682,365,1691,365,1694,366,1701,373,1702,376,1702,381,1702,385,1701,389,1694,396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“California’s Sustainable Groundwater Management Act (SGMA),” </w:t>
      </w:r>
      <w:r>
        <w:rPr>
          <w:color w:val="6E6158"/>
        </w:rPr>
        <w:t>CLE International Arizona Water Law Conference, August 11-12, 2022</w:t>
      </w:r>
    </w:p>
    <w:p>
      <w:pPr>
        <w:pStyle w:val="BodyText"/>
        <w:spacing w:line="292" w:lineRule="auto" w:before="124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231059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3636pt;width:1.65pt;height:1.65pt;mso-position-horizontal-relative:page;mso-position-vertical-relative:paragraph;z-index:15753728" id="docshape60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“Sustaining Profits: The Environment and Its Challenges Are Driving Business </w:t>
      </w:r>
      <w:r>
        <w:rPr>
          <w:color w:val="6E6158"/>
        </w:rPr>
        <w:t>Success,”</w:t>
      </w:r>
      <w:r>
        <w:rPr>
          <w:color w:val="6E6158"/>
          <w:spacing w:val="40"/>
        </w:rPr>
        <w:t> </w:t>
      </w:r>
      <w:r>
        <w:rPr>
          <w:color w:val="6E6158"/>
        </w:rPr>
        <w:t>inBusiness, August 2, 2022</w:t>
      </w:r>
    </w:p>
    <w:p>
      <w:pPr>
        <w:pStyle w:val="BodyText"/>
        <w:spacing w:line="292" w:lineRule="auto" w:before="131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235771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690pt;width:1.65pt;height:1.65pt;mso-position-horizontal-relative:page;mso-position-vertical-relative:paragraph;z-index:15754240" id="docshape61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5">
        <w:r>
          <w:rPr>
            <w:color w:val="F5821F"/>
          </w:rPr>
          <w:t>Quoted, “Despite one plant’s failure, desalination works,” Arizona Capitol Times, February </w:t>
        </w:r>
        <w:r>
          <w:rPr>
            <w:color w:val="F5821F"/>
          </w:rPr>
          <w:t>18,</w:t>
        </w:r>
      </w:hyperlink>
      <w:r>
        <w:rPr>
          <w:color w:val="F5821F"/>
          <w:spacing w:val="40"/>
        </w:rPr>
        <w:t> </w:t>
      </w:r>
      <w:hyperlink r:id="rId25"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7" w:lineRule="auto" w:before="113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236034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5361pt;width:1.65pt;height:1.65pt;mso-position-horizontal-relative:page;mso-position-vertical-relative:paragraph;z-index:15754752" id="docshape6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“Colorado River shortage: How does it affect California?” </w:t>
      </w:r>
      <w:r>
        <w:rPr>
          <w:i/>
          <w:color w:val="6E6158"/>
          <w:sz w:val="20"/>
        </w:rPr>
        <w:t>Daily Journal, </w:t>
      </w:r>
      <w:r>
        <w:rPr>
          <w:color w:val="6E6158"/>
        </w:rPr>
        <w:t>August 20, </w:t>
      </w:r>
      <w:r>
        <w:rPr>
          <w:color w:val="6E6158"/>
          <w:spacing w:val="-4"/>
        </w:rPr>
        <w:t>2021</w:t>
      </w:r>
    </w:p>
    <w:p>
      <w:pPr>
        <w:pStyle w:val="BodyText"/>
        <w:spacing w:before="117" w:after="8"/>
      </w:pPr>
      <w:hyperlink r:id="rId26">
        <w:r>
          <w:rPr>
            <w:color w:val="FF8100"/>
          </w:rPr>
          <w:t>Author,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“California’s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Colorado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River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Water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Users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do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not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have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Traditional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Water</w:t>
        </w:r>
        <w:r>
          <w:rPr>
            <w:color w:val="FF8100"/>
            <w:spacing w:val="9"/>
          </w:rPr>
          <w:t> </w:t>
        </w:r>
        <w:r>
          <w:rPr>
            <w:color w:val="FF8100"/>
            <w:spacing w:val="-2"/>
          </w:rPr>
          <w:t>Rights,”</w:t>
        </w:r>
      </w:hyperlink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63" coordorigin="0,0" coordsize="33,33">
                <v:shape style="position:absolute;left:0;top:0;width:33;height:33" id="docshape64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1" w:right="0" w:firstLine="0"/>
        <w:jc w:val="left"/>
        <w:rPr>
          <w:sz w:val="19"/>
        </w:rPr>
      </w:pPr>
      <w:hyperlink r:id="rId26">
        <w:r>
          <w:rPr>
            <w:i/>
            <w:color w:val="FF8100"/>
            <w:sz w:val="20"/>
          </w:rPr>
          <w:t>California</w:t>
        </w:r>
        <w:r>
          <w:rPr>
            <w:i/>
            <w:color w:val="FF8100"/>
            <w:spacing w:val="-10"/>
            <w:sz w:val="20"/>
          </w:rPr>
          <w:t> </w:t>
        </w:r>
        <w:r>
          <w:rPr>
            <w:i/>
            <w:color w:val="FF8100"/>
            <w:sz w:val="20"/>
          </w:rPr>
          <w:t>Ag</w:t>
        </w:r>
        <w:r>
          <w:rPr>
            <w:i/>
            <w:color w:val="FF8100"/>
            <w:spacing w:val="-10"/>
            <w:sz w:val="20"/>
          </w:rPr>
          <w:t> </w:t>
        </w:r>
        <w:r>
          <w:rPr>
            <w:i/>
            <w:color w:val="FF8100"/>
            <w:sz w:val="20"/>
          </w:rPr>
          <w:t>Today,</w:t>
        </w:r>
      </w:hyperlink>
      <w:r>
        <w:rPr>
          <w:i/>
          <w:color w:val="FF8100"/>
          <w:spacing w:val="-10"/>
          <w:sz w:val="20"/>
        </w:rPr>
        <w:t> </w:t>
      </w:r>
      <w:hyperlink r:id="rId26">
        <w:r>
          <w:rPr>
            <w:color w:val="FF8100"/>
            <w:sz w:val="19"/>
          </w:rPr>
          <w:t>December</w:t>
        </w:r>
        <w:r>
          <w:rPr>
            <w:color w:val="FF8100"/>
            <w:spacing w:val="-7"/>
            <w:sz w:val="19"/>
          </w:rPr>
          <w:t> </w:t>
        </w:r>
        <w:r>
          <w:rPr>
            <w:color w:val="FF8100"/>
            <w:sz w:val="19"/>
          </w:rPr>
          <w:t>7,</w:t>
        </w:r>
        <w:r>
          <w:rPr>
            <w:color w:val="FF8100"/>
            <w:spacing w:val="-6"/>
            <w:sz w:val="19"/>
          </w:rPr>
          <w:t> </w:t>
        </w:r>
        <w:r>
          <w:rPr>
            <w:color w:val="FF8100"/>
            <w:spacing w:val="-4"/>
            <w:sz w:val="19"/>
          </w:rPr>
          <w:t>2020</w:t>
        </w:r>
      </w:hyperlink>
    </w:p>
    <w:p>
      <w:pPr>
        <w:pStyle w:val="BodyText"/>
        <w:spacing w:line="297" w:lineRule="auto" w:before="1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266450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80331pt;width:1.65pt;height:1.65pt;mso-position-horizontal-relative:page;mso-position-vertical-relative:paragraph;z-index:15755264" id="docshape65" coordorigin="1670,420" coordsize="33,33" path="m1691,452l1682,452,1678,451,1671,444,1670,440,1670,431,1671,428,1678,421,1682,420,1691,420,1694,421,1701,428,1702,431,1702,436,1702,440,1701,444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7">
        <w:r>
          <w:rPr>
            <w:color w:val="FF8100"/>
          </w:rPr>
          <w:t>Interview, “</w:t>
        </w:r>
      </w:hyperlink>
      <w:hyperlink r:id="rId27">
        <w:r>
          <w:rPr>
            <w:i/>
            <w:color w:val="FF8100"/>
            <w:sz w:val="20"/>
          </w:rPr>
          <w:t>Abatti vs. IID</w:t>
        </w:r>
      </w:hyperlink>
      <w:hyperlink r:id="rId27">
        <w:r>
          <w:rPr>
            <w:color w:val="FF8100"/>
          </w:rPr>
          <w:t>: KMJ Interview &amp; California Ag Today Op-ed,” KMJ Now, December 3,</w:t>
        </w:r>
      </w:hyperlink>
      <w:r>
        <w:rPr>
          <w:color w:val="FF8100"/>
        </w:rPr>
        <w:t> </w:t>
      </w:r>
      <w:hyperlink r:id="rId27"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92" w:lineRule="auto" w:before="117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226924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6808pt;width:1.65pt;height:1.65pt;mso-position-horizontal-relative:page;mso-position-vertical-relative:paragraph;z-index:15755776" id="docshape66" coordorigin="1670,357" coordsize="33,33" path="m1691,390l1682,390,1678,388,1671,382,1670,378,1670,369,1671,365,1678,359,1682,357,1691,357,1694,359,1701,365,1702,369,1702,374,1702,378,1701,382,1694,388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90909"/>
        </w:rPr>
        <w:t>Presenter, “Implementation of California’s Sustainable Groundwater Management </w:t>
      </w:r>
      <w:r>
        <w:rPr>
          <w:color w:val="090909"/>
        </w:rPr>
        <w:t>Act (SGMA),” CLE International Arizona Water Law Conference, August 2020</w:t>
      </w:r>
    </w:p>
    <w:p>
      <w:pPr>
        <w:pStyle w:val="BodyText"/>
        <w:spacing w:line="290" w:lineRule="auto" w:before="123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236081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9127pt;width:1.65pt;height:1.65pt;mso-position-horizontal-relative:page;mso-position-vertical-relative:paragraph;z-index:15756288" id="docshape67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8">
        <w:r>
          <w:rPr>
            <w:color w:val="FF8100"/>
          </w:rPr>
          <w:t>Author, “The pipeline saga may have ripple effects far beyond Las Vegas and rural Eastern</w:t>
        </w:r>
      </w:hyperlink>
      <w:r>
        <w:rPr>
          <w:color w:val="FF8100"/>
        </w:rPr>
        <w:t> </w:t>
      </w:r>
      <w:hyperlink r:id="rId28">
        <w:r>
          <w:rPr>
            <w:color w:val="FF8100"/>
          </w:rPr>
          <w:t>Nevada,”</w:t>
        </w:r>
      </w:hyperlink>
      <w:r>
        <w:rPr>
          <w:color w:val="FF8100"/>
        </w:rPr>
        <w:t> </w:t>
      </w:r>
      <w:hyperlink r:id="rId28">
        <w:r>
          <w:rPr>
            <w:i/>
            <w:color w:val="FF8100"/>
            <w:sz w:val="20"/>
          </w:rPr>
          <w:t>The Nevada Independent,</w:t>
        </w:r>
      </w:hyperlink>
      <w:r>
        <w:rPr>
          <w:i/>
          <w:color w:val="FF8100"/>
          <w:sz w:val="20"/>
        </w:rPr>
        <w:t> </w:t>
      </w:r>
      <w:hyperlink r:id="rId28">
        <w:r>
          <w:rPr>
            <w:color w:val="FF8100"/>
          </w:rPr>
          <w:t>August 13, 2020</w:t>
        </w:r>
      </w:hyperlink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141954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77511pt;width:1.65pt;height:1.65pt;mso-position-horizontal-relative:page;mso-position-vertical-relative:paragraph;z-index:15756800" id="docshape68" coordorigin="1670,224" coordsize="33,33" path="m1691,256l1682,256,1678,255,1671,248,1670,244,1670,235,1671,231,1678,225,1682,224,1691,224,1694,225,1701,231,1702,235,1702,240,1702,244,1701,248,1694,255,1691,2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9">
        <w:r>
          <w:rPr>
            <w:color w:val="FF8100"/>
          </w:rPr>
          <w:t>Author,</w:t>
        </w:r>
        <w:r>
          <w:rPr>
            <w:color w:val="FF8100"/>
            <w:spacing w:val="2"/>
          </w:rPr>
          <w:t> </w:t>
        </w:r>
        <w:r>
          <w:rPr>
            <w:color w:val="FF8100"/>
          </w:rPr>
          <w:t>“Is</w:t>
        </w:r>
        <w:r>
          <w:rPr>
            <w:color w:val="FF8100"/>
            <w:spacing w:val="3"/>
          </w:rPr>
          <w:t> </w:t>
        </w:r>
        <w:r>
          <w:rPr>
            <w:color w:val="FF8100"/>
          </w:rPr>
          <w:t>California</w:t>
        </w:r>
        <w:r>
          <w:rPr>
            <w:color w:val="FF8100"/>
            <w:spacing w:val="3"/>
          </w:rPr>
          <w:t> </w:t>
        </w:r>
        <w:r>
          <w:rPr>
            <w:color w:val="FF8100"/>
          </w:rPr>
          <w:t>Willing</w:t>
        </w:r>
        <w:r>
          <w:rPr>
            <w:color w:val="FF8100"/>
            <w:spacing w:val="3"/>
          </w:rPr>
          <w:t> </w:t>
        </w:r>
        <w:r>
          <w:rPr>
            <w:color w:val="FF8100"/>
          </w:rPr>
          <w:t>to</w:t>
        </w:r>
        <w:r>
          <w:rPr>
            <w:color w:val="FF8100"/>
            <w:spacing w:val="3"/>
          </w:rPr>
          <w:t> </w:t>
        </w:r>
        <w:r>
          <w:rPr>
            <w:color w:val="FF8100"/>
          </w:rPr>
          <w:t>Solve</w:t>
        </w:r>
        <w:r>
          <w:rPr>
            <w:color w:val="FF8100"/>
            <w:spacing w:val="3"/>
          </w:rPr>
          <w:t> </w:t>
        </w:r>
        <w:r>
          <w:rPr>
            <w:color w:val="FF8100"/>
          </w:rPr>
          <w:t>Its</w:t>
        </w:r>
        <w:r>
          <w:rPr>
            <w:color w:val="FF8100"/>
            <w:spacing w:val="3"/>
          </w:rPr>
          <w:t> </w:t>
        </w:r>
        <w:r>
          <w:rPr>
            <w:color w:val="FF8100"/>
          </w:rPr>
          <w:t>Water</w:t>
        </w:r>
        <w:r>
          <w:rPr>
            <w:color w:val="FF8100"/>
            <w:spacing w:val="3"/>
          </w:rPr>
          <w:t> </w:t>
        </w:r>
        <w:r>
          <w:rPr>
            <w:color w:val="FF8100"/>
          </w:rPr>
          <w:t>Crisis?”</w:t>
        </w:r>
      </w:hyperlink>
      <w:r>
        <w:rPr>
          <w:color w:val="FF8100"/>
          <w:spacing w:val="3"/>
        </w:rPr>
        <w:t> </w:t>
      </w:r>
      <w:hyperlink r:id="rId29">
        <w:r>
          <w:rPr>
            <w:i/>
            <w:color w:val="FF8100"/>
            <w:sz w:val="20"/>
          </w:rPr>
          <w:t>Ag Funder News,</w:t>
        </w:r>
      </w:hyperlink>
      <w:r>
        <w:rPr>
          <w:i/>
          <w:color w:val="FF8100"/>
          <w:sz w:val="20"/>
        </w:rPr>
        <w:t> </w:t>
      </w:r>
      <w:hyperlink r:id="rId29">
        <w:r>
          <w:rPr>
            <w:color w:val="FF8100"/>
          </w:rPr>
          <w:t>April</w:t>
        </w:r>
        <w:r>
          <w:rPr>
            <w:color w:val="FF8100"/>
            <w:spacing w:val="3"/>
          </w:rPr>
          <w:t> </w:t>
        </w:r>
        <w:r>
          <w:rPr>
            <w:color w:val="FF8100"/>
          </w:rPr>
          <w:t>8,</w:t>
        </w:r>
        <w:r>
          <w:rPr>
            <w:color w:val="FF8100"/>
            <w:spacing w:val="3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before="1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173488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0512pt;width:1.65pt;height:1.65pt;mso-position-horizontal-relative:page;mso-position-vertical-relative:paragraph;z-index:15757312" id="docshape69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9"/>
        </w:rPr>
        <w:t> </w:t>
      </w:r>
      <w:r>
        <w:rPr>
          <w:color w:val="6E6158"/>
        </w:rPr>
        <w:t>“Farmers</w:t>
      </w:r>
      <w:r>
        <w:rPr>
          <w:color w:val="6E6158"/>
          <w:spacing w:val="9"/>
        </w:rPr>
        <w:t> </w:t>
      </w:r>
      <w:r>
        <w:rPr>
          <w:color w:val="6E6158"/>
        </w:rPr>
        <w:t>Lawyer</w:t>
      </w:r>
      <w:r>
        <w:rPr>
          <w:color w:val="6E6158"/>
          <w:spacing w:val="9"/>
        </w:rPr>
        <w:t> </w:t>
      </w:r>
      <w:r>
        <w:rPr>
          <w:color w:val="6E6158"/>
        </w:rPr>
        <w:t>Up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‘Massive’</w:t>
      </w:r>
      <w:r>
        <w:rPr>
          <w:color w:val="6E6158"/>
          <w:spacing w:val="9"/>
        </w:rPr>
        <w:t> </w:t>
      </w:r>
      <w:r>
        <w:rPr>
          <w:color w:val="6E6158"/>
        </w:rPr>
        <w:t>Aquifer</w:t>
      </w:r>
      <w:r>
        <w:rPr>
          <w:color w:val="6E6158"/>
          <w:spacing w:val="9"/>
        </w:rPr>
        <w:t> </w:t>
      </w:r>
      <w:r>
        <w:rPr>
          <w:color w:val="6E6158"/>
        </w:rPr>
        <w:t>Cuts</w:t>
      </w:r>
      <w:r>
        <w:rPr>
          <w:color w:val="6E6158"/>
          <w:spacing w:val="10"/>
        </w:rPr>
        <w:t> </w:t>
      </w:r>
      <w:r>
        <w:rPr>
          <w:color w:val="6E6158"/>
        </w:rPr>
        <w:t>Loom,”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Greenwire</w:t>
      </w:r>
      <w:r>
        <w:rPr>
          <w:color w:val="6E6158"/>
        </w:rPr>
        <w:t>,</w:t>
      </w:r>
      <w:r>
        <w:rPr>
          <w:color w:val="6E6158"/>
          <w:spacing w:val="9"/>
        </w:rPr>
        <w:t> </w:t>
      </w:r>
      <w:r>
        <w:rPr>
          <w:color w:val="6E6158"/>
        </w:rPr>
        <w:t>January</w:t>
      </w:r>
      <w:r>
        <w:rPr>
          <w:color w:val="6E6158"/>
          <w:spacing w:val="10"/>
        </w:rPr>
        <w:t> </w:t>
      </w:r>
      <w:r>
        <w:rPr>
          <w:color w:val="6E6158"/>
        </w:rPr>
        <w:t>28,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72"/>
        <w:ind w:right="2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266916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1704pt;width:1.65pt;height:1.65pt;mso-position-horizontal-relative:page;mso-position-vertical-relative:paragraph;z-index:15757824" id="docshape70" coordorigin="1670,420" coordsize="33,33" path="m1691,453l1682,453,1678,451,1671,445,1670,441,1670,432,1671,428,1678,422,1682,420,1691,420,1694,422,1701,428,1702,432,1702,437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0">
        <w:r>
          <w:rPr>
            <w:color w:val="FF8100"/>
          </w:rPr>
          <w:t>Author, “Today is the day: GSPs for critically overdrafted high- and medium-priority basins are</w:t>
        </w:r>
      </w:hyperlink>
      <w:r>
        <w:rPr>
          <w:color w:val="FF8100"/>
        </w:rPr>
        <w:t> </w:t>
      </w:r>
      <w:hyperlink r:id="rId30">
        <w:r>
          <w:rPr>
            <w:color w:val="FF8100"/>
          </w:rPr>
          <w:t>due to DWR,” LinkedIn, January 31, 2020</w:t>
        </w:r>
      </w:hyperlink>
    </w:p>
    <w:p>
      <w:pPr>
        <w:pStyle w:val="BodyText"/>
        <w:spacing w:line="292" w:lineRule="auto" w:before="113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224147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9374pt;width:1.65pt;height:1.65pt;mso-position-horizontal-relative:page;mso-position-vertical-relative:paragraph;z-index:15758336" id="docshape71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“Understanding Arizona Surface Water Rights,” Arizona Water Laws and Regulations Seminar, January 2020</w:t>
      </w:r>
    </w:p>
    <w:p>
      <w:pPr>
        <w:pStyle w:val="BodyText"/>
        <w:spacing w:line="292" w:lineRule="auto" w:before="131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235840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0086pt;width:1.65pt;height:1.65pt;mso-position-horizontal-relative:page;mso-position-vertical-relative:paragraph;z-index:15758848" id="docshape7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1">
        <w:r>
          <w:rPr>
            <w:color w:val="FF8100"/>
          </w:rPr>
          <w:t>Author, “How California’s New Water Regulations Will Affect Users in 2020 and Beyond,” SGMA</w:t>
        </w:r>
      </w:hyperlink>
      <w:r>
        <w:rPr>
          <w:color w:val="FF8100"/>
        </w:rPr>
        <w:t> </w:t>
      </w:r>
      <w:hyperlink r:id="rId31">
        <w:r>
          <w:rPr>
            <w:color w:val="FF8100"/>
          </w:rPr>
          <w:t>Update, October 2019</w:t>
        </w:r>
      </w:hyperlink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143093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7243pt;width:1.65pt;height:1.65pt;mso-position-horizontal-relative:page;mso-position-vertical-relative:paragraph;z-index:15759360" id="docshape7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2">
        <w:r>
          <w:rPr>
            <w:color w:val="FF8100"/>
          </w:rPr>
          <w:t>Author,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“SGMA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Updates,”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7,</w:t>
        </w:r>
        <w:r>
          <w:rPr>
            <w:color w:val="FF8100"/>
            <w:spacing w:val="10"/>
          </w:rPr>
          <w:t> </w:t>
        </w:r>
        <w:r>
          <w:rPr>
            <w:color w:val="FF8100"/>
            <w:spacing w:val="-4"/>
          </w:rPr>
          <w:t>2019</w:t>
        </w:r>
      </w:hyperlink>
    </w:p>
    <w:p>
      <w:pPr>
        <w:pStyle w:val="BodyText"/>
        <w:spacing w:line="302" w:lineRule="auto" w:before="174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268442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7169pt;width:1.65pt;height:1.65pt;mso-position-horizontal-relative:page;mso-position-vertical-relative:paragraph;z-index:15759872" id="docshape74" coordorigin="1670,423" coordsize="33,33" path="m1691,455l1682,455,1678,454,1671,447,1670,444,1670,435,1671,431,1678,424,1682,423,1691,423,1694,424,1701,431,1702,435,1702,439,1702,444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3">
        <w:r>
          <w:rPr>
            <w:color w:val="FF8100"/>
          </w:rPr>
          <w:t>Author, “California Wine Country May See Increased Water Use Regulation,” LinkedIn, </w:t>
        </w:r>
        <w:r>
          <w:rPr>
            <w:color w:val="FF8100"/>
          </w:rPr>
          <w:t>August</w:t>
        </w:r>
      </w:hyperlink>
      <w:r>
        <w:rPr>
          <w:color w:val="FF8100"/>
        </w:rPr>
        <w:t> </w:t>
      </w:r>
      <w:hyperlink r:id="rId33">
        <w:r>
          <w:rPr>
            <w:color w:val="FF8100"/>
          </w:rPr>
          <w:t>16, 2018</w:t>
        </w:r>
      </w:hyperlink>
    </w:p>
    <w:p>
      <w:pPr>
        <w:pStyle w:val="BodyText"/>
        <w:spacing w:line="278" w:lineRule="auto" w:before="103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224399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9214pt;width:1.65pt;height:1.65pt;mso-position-horizontal-relative:page;mso-position-vertical-relative:paragraph;z-index:15760384" id="docshape75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“Three Ways to Protect Your Interests as a Groundwater User in California,” </w:t>
      </w:r>
      <w:r>
        <w:rPr>
          <w:i/>
          <w:color w:val="6E6158"/>
          <w:sz w:val="20"/>
        </w:rPr>
        <w:t>Water</w:t>
      </w:r>
      <w:r>
        <w:rPr>
          <w:i/>
          <w:color w:val="6E6158"/>
          <w:sz w:val="20"/>
        </w:rPr>
        <w:t> Deeply</w:t>
      </w:r>
      <w:r>
        <w:rPr>
          <w:color w:val="6E6158"/>
        </w:rPr>
        <w:t>, June 13, 2018</w:t>
      </w:r>
    </w:p>
    <w:p>
      <w:pPr>
        <w:pStyle w:val="BodyText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205449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7094pt;width:1.65pt;height:1.65pt;mso-position-horizontal-relative:page;mso-position-vertical-relative:paragraph;z-index:15760896" id="docshape76" coordorigin="1670,324" coordsize="33,33" path="m1691,356l1682,356,1678,355,1671,348,1670,344,1670,335,1671,331,1678,325,1682,324,1691,324,1694,325,1701,331,1702,335,1702,340,1702,344,1701,348,1694,355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Guitarist, Retro-Active, performing to benefit Alice Cooper’s Solid Rock Teen Center. See clip</w:t>
      </w:r>
      <w:r>
        <w:rPr>
          <w:color w:val="6E6158"/>
          <w:spacing w:val="40"/>
        </w:rPr>
        <w:t> </w:t>
      </w:r>
      <w:hyperlink r:id="rId34">
        <w:r>
          <w:rPr>
            <w:color w:val="F5821F"/>
            <w:spacing w:val="-2"/>
          </w:rPr>
          <w:t>here</w:t>
        </w:r>
      </w:hyperlink>
      <w:r>
        <w:rPr>
          <w:color w:val="6E6158"/>
          <w:spacing w:val="-2"/>
        </w:rPr>
        <w:t>.</w:t>
      </w:r>
    </w:p>
    <w:p>
      <w:pPr>
        <w:pStyle w:val="BodyText"/>
        <w:spacing w:line="292" w:lineRule="auto" w:before="132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61408" id="docshape7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Guitarist, IC/DC, performing to benefit Sentinels of Freedom (a nonprofit assisting </w:t>
      </w:r>
      <w:r>
        <w:rPr>
          <w:color w:val="6E6158"/>
        </w:rPr>
        <w:t>wounded</w:t>
      </w:r>
      <w:r>
        <w:rPr>
          <w:color w:val="6E6158"/>
          <w:spacing w:val="40"/>
        </w:rPr>
        <w:t> </w:t>
      </w:r>
      <w:r>
        <w:rPr>
          <w:color w:val="6E6158"/>
        </w:rPr>
        <w:t>veterans complete their higher education). See clip </w:t>
      </w:r>
      <w:hyperlink r:id="rId35">
        <w:r>
          <w:rPr>
            <w:color w:val="F5821F"/>
          </w:rPr>
          <w:t>here</w:t>
        </w:r>
      </w:hyperlink>
      <w:r>
        <w:rPr>
          <w:color w:val="6E6158"/>
        </w:rPr>
        <w:t>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142811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974pt;width:1.65pt;height:1.65pt;mso-position-horizontal-relative:page;mso-position-vertical-relative:paragraph;z-index:15761920" id="docshape78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Notre</w:t>
      </w:r>
      <w:r>
        <w:rPr>
          <w:color w:val="6E6158"/>
          <w:spacing w:val="10"/>
        </w:rPr>
        <w:t> </w:t>
      </w:r>
      <w:r>
        <w:rPr>
          <w:color w:val="6E6158"/>
        </w:rPr>
        <w:t>Dame</w:t>
      </w:r>
      <w:r>
        <w:rPr>
          <w:color w:val="6E6158"/>
          <w:spacing w:val="11"/>
        </w:rPr>
        <w:t> </w:t>
      </w:r>
      <w:r>
        <w:rPr>
          <w:color w:val="6E6158"/>
        </w:rPr>
        <w:t>Club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Phoenix,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175146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1024pt;width:1.65pt;height:1.65pt;mso-position-horizontal-relative:page;mso-position-vertical-relative:paragraph;z-index:15762432" id="docshape79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</w:rPr>
        <w:t>Practice</w:t>
      </w:r>
      <w:r>
        <w:rPr>
          <w:color w:val="6E6158"/>
          <w:spacing w:val="10"/>
        </w:rPr>
        <w:t> </w:t>
      </w:r>
      <w:r>
        <w:rPr>
          <w:color w:val="6E6158"/>
        </w:rPr>
        <w:t>Section,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Arizona,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line="420" w:lineRule="auto" w:before="182"/>
        <w:ind w:right="1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175095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7069pt;width:1.65pt;height:1.65pt;mso-position-horizontal-relative:page;mso-position-vertical-relative:paragraph;z-index:15762944" id="docshape80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433461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0817pt;width:1.65pt;height:1.65pt;mso-position-horizontal-relative:page;mso-position-vertical-relative:paragraph;z-index:15763456" id="docshape81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Environmental and Natural Resources Section, State Bar of Arizona, </w:t>
      </w:r>
      <w:r>
        <w:rPr>
          <w:color w:val="6E6158"/>
        </w:rPr>
        <w:t>Member Colorado Bar Association, Member</w:t>
      </w:r>
    </w:p>
    <w:p>
      <w:pPr>
        <w:pStyle w:val="BodyText"/>
        <w:spacing w:line="420" w:lineRule="auto"/>
        <w:ind w:right="16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63683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4460pt;width:1.65pt;height:1.65pt;mso-position-horizontal-relative:page;mso-position-vertical-relative:paragraph;z-index:15763968" id="docshape82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322049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821pt;width:1.65pt;height:1.65pt;mso-position-horizontal-relative:page;mso-position-vertical-relative:paragraph;z-index:15764480" id="docshape83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Environment and Natural Resources Section, State Bar of Nevada, </w:t>
      </w:r>
      <w:r>
        <w:rPr>
          <w:color w:val="6E6158"/>
        </w:rPr>
        <w:t>Member Notre Dame Club of Phoenix Board of Directors, past Member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62674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3499pt;width:1.65pt;height:1.65pt;mso-position-horizontal-relative:page;mso-position-vertical-relative:paragraph;z-index:15764992" id="docshape84" coordorigin="1670,99" coordsize="33,33" path="m1691,131l1682,131,1678,130,1671,123,1670,119,1670,110,1671,107,1678,100,1682,99,1691,99,1694,100,1701,107,1702,110,1702,115,1702,119,1701,123,1694,130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St.</w:t>
      </w:r>
      <w:r>
        <w:rPr>
          <w:color w:val="6E6158"/>
          <w:spacing w:val="16"/>
        </w:rPr>
        <w:t> </w:t>
      </w:r>
      <w:r>
        <w:rPr>
          <w:color w:val="6E6158"/>
        </w:rPr>
        <w:t>Matthew’s</w:t>
      </w:r>
      <w:r>
        <w:rPr>
          <w:color w:val="6E6158"/>
          <w:spacing w:val="16"/>
        </w:rPr>
        <w:t> </w:t>
      </w:r>
      <w:r>
        <w:rPr>
          <w:color w:val="6E6158"/>
        </w:rPr>
        <w:t>Interactive</w:t>
      </w:r>
      <w:r>
        <w:rPr>
          <w:color w:val="6E6158"/>
          <w:spacing w:val="17"/>
        </w:rPr>
        <w:t> </w:t>
      </w:r>
      <w:r>
        <w:rPr>
          <w:color w:val="6E6158"/>
        </w:rPr>
        <w:t>Learning</w:t>
      </w:r>
      <w:r>
        <w:rPr>
          <w:color w:val="6E6158"/>
          <w:spacing w:val="16"/>
        </w:rPr>
        <w:t> </w:t>
      </w:r>
      <w:r>
        <w:rPr>
          <w:color w:val="6E6158"/>
        </w:rPr>
        <w:t>Experience,</w:t>
      </w:r>
      <w:r>
        <w:rPr>
          <w:color w:val="6E6158"/>
          <w:spacing w:val="17"/>
        </w:rPr>
        <w:t> </w:t>
      </w:r>
      <w:r>
        <w:rPr>
          <w:color w:val="6E6158"/>
        </w:rPr>
        <w:t>past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Chair</w:t>
      </w:r>
    </w:p>
    <w:p>
      <w:pPr>
        <w:pStyle w:val="BodyText"/>
        <w:spacing w:line="292" w:lineRule="auto" w:before="174"/>
        <w:ind w:right="9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262947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4521pt;width:1.65pt;height:1.65pt;mso-position-horizontal-relative:page;mso-position-vertical-relative:paragraph;z-index:15765504" id="docshape85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Mining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Mineral</w:t>
      </w:r>
      <w:r>
        <w:rPr>
          <w:color w:val="6E6158"/>
          <w:spacing w:val="18"/>
        </w:rPr>
        <w:t> </w:t>
      </w:r>
      <w:r>
        <w:rPr>
          <w:color w:val="6E6158"/>
        </w:rPr>
        <w:t>Extraction</w:t>
      </w:r>
      <w:r>
        <w:rPr>
          <w:color w:val="6E6158"/>
          <w:spacing w:val="18"/>
        </w:rPr>
        <w:t> </w:t>
      </w:r>
      <w:r>
        <w:rPr>
          <w:color w:val="6E6158"/>
        </w:rPr>
        <w:t>Committee,</w:t>
      </w:r>
      <w:r>
        <w:rPr>
          <w:color w:val="6E6158"/>
          <w:spacing w:val="18"/>
        </w:rPr>
        <w:t> </w:t>
      </w:r>
      <w:r>
        <w:rPr>
          <w:color w:val="6E6158"/>
        </w:rPr>
        <w:t>American</w:t>
      </w:r>
      <w:r>
        <w:rPr>
          <w:color w:val="6E6158"/>
          <w:spacing w:val="18"/>
        </w:rPr>
        <w:t> </w:t>
      </w:r>
      <w:r>
        <w:rPr>
          <w:color w:val="6E6158"/>
        </w:rPr>
        <w:t>Bar</w:t>
      </w:r>
      <w:r>
        <w:rPr>
          <w:color w:val="6E6158"/>
          <w:spacing w:val="18"/>
        </w:rPr>
        <w:t> </w:t>
      </w:r>
      <w:r>
        <w:rPr>
          <w:color w:val="6E6158"/>
        </w:rPr>
        <w:t>Association,</w:t>
      </w:r>
      <w:r>
        <w:rPr>
          <w:color w:val="6E6158"/>
          <w:spacing w:val="18"/>
        </w:rPr>
        <w:t> </w:t>
      </w:r>
      <w:r>
        <w:rPr>
          <w:color w:val="6E6158"/>
        </w:rPr>
        <w:t>past</w:t>
      </w:r>
      <w:r>
        <w:rPr>
          <w:color w:val="6E6158"/>
          <w:spacing w:val="18"/>
        </w:rPr>
        <w:t> </w:t>
      </w:r>
      <w:r>
        <w:rPr>
          <w:color w:val="6E6158"/>
        </w:rPr>
        <w:t>Vice</w:t>
      </w:r>
      <w:r>
        <w:rPr>
          <w:color w:val="6E6158"/>
          <w:spacing w:val="18"/>
        </w:rPr>
        <w:t> </w:t>
      </w:r>
      <w:r>
        <w:rPr>
          <w:color w:val="6E6158"/>
        </w:rPr>
        <w:t>Chair-</w:t>
      </w:r>
      <w:r>
        <w:rPr>
          <w:color w:val="6E6158"/>
          <w:spacing w:val="-2"/>
        </w:rPr>
        <w:t>Membership</w:t>
      </w:r>
    </w:p>
    <w:p>
      <w:pPr>
        <w:pStyle w:val="Heading1"/>
        <w:spacing w:before="284"/>
      </w:pPr>
      <w:r>
        <w:rPr>
          <w:color w:val="FF8100"/>
          <w:spacing w:val="-2"/>
        </w:rPr>
        <w:t>ADMISSIONS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158084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7596pt;width:1.65pt;height:1.65pt;mso-position-horizontal-relative:page;mso-position-vertical-relative:paragraph;z-index:15766016" id="docshape86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line="420" w:lineRule="auto" w:before="174"/>
        <w:ind w:right="59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170099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3639pt;width:1.65pt;height:1.65pt;mso-position-horizontal-relative:page;mso-position-vertical-relative:paragraph;z-index:15766528" id="docshape87" coordorigin="1670,268" coordsize="33,33" path="m1691,300l1682,300,1678,299,1671,292,1670,289,1670,280,1671,276,1678,269,1682,268,1691,268,1694,269,1701,276,1702,280,1702,284,1702,289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433632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4264pt;width:1.65pt;height:1.65pt;mso-position-horizontal-relative:page;mso-position-vertical-relative:paragraph;z-index:15767040" id="docshape88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 (pro hac </w:t>
      </w:r>
      <w:r>
        <w:rPr>
          <w:color w:val="6E6158"/>
        </w:rPr>
        <w:t>vice) </w:t>
      </w:r>
      <w:r>
        <w:rPr>
          <w:color w:val="6E6158"/>
          <w:spacing w:val="-2"/>
        </w:rPr>
        <w:t>Colorado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63767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1043pt;width:1.65pt;height:1.65pt;mso-position-horizontal-relative:page;mso-position-vertical-relative:paragraph;z-index:15767552" id="docshape89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175215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6528pt;width:1.65pt;height:1.65pt;mso-position-horizontal-relative:page;mso-position-vertical-relative:paragraph;z-index:15768064" id="docshape90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175252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409pt;width:1.65pt;height:1.65pt;mso-position-horizontal-relative:page;mso-position-vertical-relative:paragraph;z-index:15768576" id="docshape9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175202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5471pt;width:1.65pt;height:1.65pt;mso-position-horizontal-relative:page;mso-position-vertical-relative:paragraph;z-index:15769088" id="docshape92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water-law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hood@fennemorelaw.com" TargetMode="External"/><Relationship Id="rId11" Type="http://schemas.openxmlformats.org/officeDocument/2006/relationships/hyperlink" Target="https://www.fennemorelaw.com/time-does-not-run-against-the-king-arizona-supreme-court-confirms-government-entity-plaintiffs-are-not-bound-by-a-r-s-%c2%a7-12-821s-one-year-statute-of-limitati/" TargetMode="External"/><Relationship Id="rId12" Type="http://schemas.openxmlformats.org/officeDocument/2006/relationships/hyperlink" Target="https://www.fennemorelaw.com/wp-content/uploads/2025/09/2025.09.pdf" TargetMode="External"/><Relationship Id="rId13" Type="http://schemas.openxmlformats.org/officeDocument/2006/relationships/hyperlink" Target="https://www.fennemorelaw.com/wp-content/uploads/2025/07/2024-09-06-_____-Order-Quantifying-Federal-Reserved-Water-Rights-for-Fort-Huachuca-W150069054.1.pdf" TargetMode="External"/><Relationship Id="rId14" Type="http://schemas.openxmlformats.org/officeDocument/2006/relationships/hyperlink" Target="https://www.superiorcourt.maricopa.gov/SuperiorCourt/GeneralStreamAdjudication/docs/W1-11-232-Brain-OR-fed-res-rights-8-25-23.pdf" TargetMode="External"/><Relationship Id="rId15" Type="http://schemas.openxmlformats.org/officeDocument/2006/relationships/hyperlink" Target="https://www.fennemorelaw.com/wp-content/uploads/2022/08/W1-11-2664-ORDER-FILED-08-10-2022.pdf" TargetMode="External"/><Relationship Id="rId16" Type="http://schemas.openxmlformats.org/officeDocument/2006/relationships/hyperlink" Target="https://www.fennemorelaw.com/wp-content/uploads/2022/08/W1-103-7.5.2022.pdf" TargetMode="External"/><Relationship Id="rId17" Type="http://schemas.openxmlformats.org/officeDocument/2006/relationships/hyperlink" Target="https://www.superiorcourt.maricopa.gov/SuperiorCourt/GeneralStreamAdjudication/docs/103ord083021.pdf" TargetMode="External"/><Relationship Id="rId18" Type="http://schemas.openxmlformats.org/officeDocument/2006/relationships/hyperlink" Target="https://www.fennemorelaw.com/Templates/media/files/14401619_1(2018-11-09%20Order%20-%20Under%20Advisement%20Ruling%20and%20Order).PDF" TargetMode="External"/><Relationship Id="rId19" Type="http://schemas.openxmlformats.org/officeDocument/2006/relationships/hyperlink" Target="https://www.azcourts.gov/Portals/0/OpinionFiles/Div1/2020/1%20CA-CV%2019-0284%20-Talking%20Rock.pdf" TargetMode="External"/><Relationship Id="rId20" Type="http://schemas.openxmlformats.org/officeDocument/2006/relationships/hyperlink" Target="https://www.fennemorelaw.com/Templates/media/files/Court/14508599_1(2018-12-17%20Stamped%20Order%20Quantifying%20Federal%20Reserved%20Water%20Rights%20for%20the%20Aravaipa%20Canyon%20Wilderness%20Area).PDF" TargetMode="External"/><Relationship Id="rId21" Type="http://schemas.openxmlformats.org/officeDocument/2006/relationships/hyperlink" Target="https://www.dropbox.com/scl/fo/mgn8bcli5ktffutckjrrt/AMSMp4y3j9v40u93olVAJU8/Exports?e=1&amp;preview=25-08-25.mp4&amp;rlkey=grsa98cc1bb4xi0ncm6ywv6w8&amp;subfolder_nav_tracking=1&amp;dl=0" TargetMode="External"/><Relationship Id="rId22" Type="http://schemas.openxmlformats.org/officeDocument/2006/relationships/hyperlink" Target="https://azbigmedia.com/business/heres-how-arizonas-water-future-depends-on-new-water-supplies/" TargetMode="External"/><Relationship Id="rId23" Type="http://schemas.openxmlformats.org/officeDocument/2006/relationships/hyperlink" Target="https://www.bizjournals.com/phoenix/news/2023/06/15/arizona-water-future-must-plan-solutions-challenge.html" TargetMode="External"/><Relationship Id="rId24" Type="http://schemas.openxmlformats.org/officeDocument/2006/relationships/hyperlink" Target="https://azcapitoltimes.com/news/2022/09/18/arizona-must-develop-new-water-supplies-now/" TargetMode="External"/><Relationship Id="rId25" Type="http://schemas.openxmlformats.org/officeDocument/2006/relationships/hyperlink" Target="https://azcapitoltimes.com/news/2022/02/27/despite-one-plants-failure-desalination-works/" TargetMode="External"/><Relationship Id="rId26" Type="http://schemas.openxmlformats.org/officeDocument/2006/relationships/hyperlink" Target="https://californiaagtoday.com/litigation-water-rights/" TargetMode="External"/><Relationship Id="rId27" Type="http://schemas.openxmlformats.org/officeDocument/2006/relationships/hyperlink" Target="https://www.fennemorelaw.com/Templates/media/files/SEAN%20HOOD%20on%20KMJ%2012-3-20.mp3" TargetMode="External"/><Relationship Id="rId28" Type="http://schemas.openxmlformats.org/officeDocument/2006/relationships/hyperlink" Target="https://thenevadaindependent.com/article/the-pipeline-saga-may-have-ripple-effects-far-beyond-las-vegas-and-rural-eastern-nevada" TargetMode="External"/><Relationship Id="rId29" Type="http://schemas.openxmlformats.org/officeDocument/2006/relationships/hyperlink" Target="https://agfundernews.com/is-california-willing-to-solve-its-water-crisis.html" TargetMode="External"/><Relationship Id="rId30" Type="http://schemas.openxmlformats.org/officeDocument/2006/relationships/hyperlink" Target="https://www.linkedin.com/pulse/today-day-gsps-critically-overdrafted-high-basins-due-sean-hood/" TargetMode="External"/><Relationship Id="rId31" Type="http://schemas.openxmlformats.org/officeDocument/2006/relationships/hyperlink" Target="https://www.fclaw.com/insights/newsletters/2019/how-california-s-new-water-regulations-will-affect-users-in-2020-and-beyond" TargetMode="External"/><Relationship Id="rId32" Type="http://schemas.openxmlformats.org/officeDocument/2006/relationships/hyperlink" Target="https://www.fennemorelaw.com/insights/newsletters/2019/sgma-update" TargetMode="External"/><Relationship Id="rId33" Type="http://schemas.openxmlformats.org/officeDocument/2006/relationships/hyperlink" Target="https://www.linkedin.com/pulse/california-wine-country-may-see-increased-water-use-regulation-hood/" TargetMode="External"/><Relationship Id="rId34" Type="http://schemas.openxmlformats.org/officeDocument/2006/relationships/hyperlink" Target="https://www.youtube.com/watch?v=bpuLRp0TAHk" TargetMode="External"/><Relationship Id="rId35" Type="http://schemas.openxmlformats.org/officeDocument/2006/relationships/hyperlink" Target="https://www.youtube.com/watch?v=cfsShF1sXcs&amp;t=359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Sean T. Hood - Fennemore</dc:title>
  <dcterms:created xsi:type="dcterms:W3CDTF">2026-05-08T17:07:24Z</dcterms:created>
  <dcterms:modified xsi:type="dcterms:W3CDTF">2026-05-08T17:07:24Z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2026-05-08T00:00:00Z</vt:filetime>
  </property>
  <property fmtid="{D5CDD505-2E9C-101B-9397-08002B2CF9AE}" pid="6" name="Producer">
    <vt:lpwstr>Skia/PDF m146</vt:lpwstr>
  </property>
</Properties>
</file>