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rystanMelanc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249" w:right="1252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TRYSTAN MELANCON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303.285.0224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tmelancon@fennemorelaw.com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rystanMelanco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249" w:right="1252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TRYSTAN MELANCON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303.285.0224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tmelancon@fennemorelaw.com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TRYSTAN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MELANCON</w:t>
      </w:r>
    </w:p>
    <w:p>
      <w:pPr>
        <w:pStyle w:val="BodyText"/>
        <w:spacing w:line="295" w:lineRule="auto" w:before="147"/>
        <w:ind w:left="99" w:right="587"/>
      </w:pPr>
      <w:r>
        <w:rPr>
          <w:color w:val="6E6158"/>
        </w:rPr>
        <w:t>Trystan Melancon is an attorney with Fennemore whose practice focuses on construction law,</w:t>
      </w:r>
      <w:r>
        <w:rPr>
          <w:color w:val="6E6158"/>
          <w:spacing w:val="40"/>
        </w:rPr>
        <w:t> </w:t>
      </w:r>
      <w:r>
        <w:rPr>
          <w:color w:val="6E6158"/>
        </w:rPr>
        <w:t>business transactions, and litigation in Colorado. She advises contractors, developers, and</w:t>
      </w:r>
      <w:r>
        <w:rPr>
          <w:color w:val="6E6158"/>
          <w:spacing w:val="40"/>
        </w:rPr>
        <w:t> </w:t>
      </w:r>
      <w:r>
        <w:rPr>
          <w:color w:val="6E6158"/>
        </w:rPr>
        <w:t>subcontractors on contract drafting and negotiation, regulatory compliance, entity </w:t>
      </w:r>
      <w:r>
        <w:rPr>
          <w:color w:val="6E6158"/>
        </w:rPr>
        <w:t>formation,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day-to-day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  <w:r>
        <w:rPr>
          <w:color w:val="6E6158"/>
          <w:spacing w:val="37"/>
        </w:rPr>
        <w:t> </w:t>
      </w:r>
      <w:r>
        <w:rPr>
          <w:color w:val="6E6158"/>
        </w:rPr>
        <w:t>operations.</w:t>
      </w:r>
      <w:r>
        <w:rPr>
          <w:color w:val="6E6158"/>
          <w:spacing w:val="37"/>
        </w:rPr>
        <w:t> </w:t>
      </w:r>
      <w:r>
        <w:rPr>
          <w:color w:val="6E6158"/>
        </w:rPr>
        <w:t>Trystan</w:t>
      </w:r>
      <w:r>
        <w:rPr>
          <w:color w:val="6E6158"/>
          <w:spacing w:val="37"/>
        </w:rPr>
        <w:t> </w:t>
      </w:r>
      <w:r>
        <w:rPr>
          <w:color w:val="6E6158"/>
        </w:rPr>
        <w:t>also</w:t>
      </w:r>
      <w:r>
        <w:rPr>
          <w:color w:val="6E6158"/>
          <w:spacing w:val="37"/>
        </w:rPr>
        <w:t> </w:t>
      </w:r>
      <w:r>
        <w:rPr>
          <w:color w:val="6E6158"/>
        </w:rPr>
        <w:t>represents</w:t>
      </w:r>
      <w:r>
        <w:rPr>
          <w:color w:val="6E6158"/>
          <w:spacing w:val="37"/>
        </w:rPr>
        <w:t> </w:t>
      </w:r>
      <w:r>
        <w:rPr>
          <w:color w:val="6E6158"/>
        </w:rPr>
        <w:t>clients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construction</w:t>
      </w:r>
      <w:r>
        <w:rPr>
          <w:color w:val="6E6158"/>
          <w:spacing w:val="37"/>
        </w:rPr>
        <w:t> </w:t>
      </w:r>
      <w:r>
        <w:rPr>
          <w:color w:val="6E6158"/>
        </w:rPr>
        <w:t>defect</w:t>
      </w:r>
    </w:p>
    <w:p>
      <w:pPr>
        <w:pStyle w:val="BodyText"/>
        <w:spacing w:before="1"/>
        <w:ind w:left="99"/>
      </w:pPr>
      <w:r>
        <w:rPr>
          <w:color w:val="6E6158"/>
        </w:rPr>
        <w:t>disputes,</w:t>
      </w:r>
      <w:r>
        <w:rPr>
          <w:color w:val="6E6158"/>
          <w:spacing w:val="14"/>
        </w:rPr>
        <w:t> </w:t>
      </w:r>
      <w:r>
        <w:rPr>
          <w:color w:val="6E6158"/>
        </w:rPr>
        <w:t>mechanic’s</w:t>
      </w:r>
      <w:r>
        <w:rPr>
          <w:color w:val="6E6158"/>
          <w:spacing w:val="15"/>
        </w:rPr>
        <w:t> </w:t>
      </w:r>
      <w:r>
        <w:rPr>
          <w:color w:val="6E6158"/>
        </w:rPr>
        <w:t>lien</w:t>
      </w:r>
      <w:r>
        <w:rPr>
          <w:color w:val="6E6158"/>
          <w:spacing w:val="15"/>
        </w:rPr>
        <w:t> </w:t>
      </w:r>
      <w:r>
        <w:rPr>
          <w:color w:val="6E6158"/>
        </w:rPr>
        <w:t>claims,</w:t>
      </w:r>
      <w:r>
        <w:rPr>
          <w:color w:val="6E6158"/>
          <w:spacing w:val="15"/>
        </w:rPr>
        <w:t> </w:t>
      </w:r>
      <w:r>
        <w:rPr>
          <w:color w:val="6E6158"/>
        </w:rPr>
        <w:t>collections,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related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 w:right="526"/>
      </w:pPr>
      <w:r>
        <w:rPr>
          <w:color w:val="6E6158"/>
        </w:rPr>
        <w:t>Before joining Fennemore, Trystan gained hands-on legal experience as a law clerk for a private</w:t>
      </w:r>
      <w:r>
        <w:rPr>
          <w:color w:val="6E6158"/>
          <w:spacing w:val="40"/>
        </w:rPr>
        <w:t> </w:t>
      </w:r>
      <w:r>
        <w:rPr>
          <w:color w:val="6E6158"/>
        </w:rPr>
        <w:t>firm in Louisiana and with Galvanize Law, where she developed skills in drafting motions, briefs,</w:t>
      </w:r>
      <w:r>
        <w:rPr>
          <w:color w:val="6E6158"/>
          <w:spacing w:val="40"/>
        </w:rPr>
        <w:t> </w:t>
      </w:r>
      <w:r>
        <w:rPr>
          <w:color w:val="6E6158"/>
        </w:rPr>
        <w:t>demand</w:t>
      </w:r>
      <w:r>
        <w:rPr>
          <w:color w:val="6E6158"/>
          <w:spacing w:val="31"/>
        </w:rPr>
        <w:t> </w:t>
      </w:r>
      <w:r>
        <w:rPr>
          <w:color w:val="6E6158"/>
        </w:rPr>
        <w:t>letters,</w:t>
      </w:r>
      <w:r>
        <w:rPr>
          <w:color w:val="6E6158"/>
          <w:spacing w:val="31"/>
        </w:rPr>
        <w:t> </w:t>
      </w:r>
      <w:r>
        <w:rPr>
          <w:color w:val="6E6158"/>
        </w:rPr>
        <w:t>contracts,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complaints.</w:t>
      </w:r>
      <w:r>
        <w:rPr>
          <w:color w:val="6E6158"/>
          <w:spacing w:val="31"/>
        </w:rPr>
        <w:t> </w:t>
      </w:r>
      <w:r>
        <w:rPr>
          <w:color w:val="6E6158"/>
        </w:rPr>
        <w:t>She</w:t>
      </w:r>
      <w:r>
        <w:rPr>
          <w:color w:val="6E6158"/>
          <w:spacing w:val="31"/>
        </w:rPr>
        <w:t> </w:t>
      </w:r>
      <w:r>
        <w:rPr>
          <w:color w:val="6E6158"/>
        </w:rPr>
        <w:t>earned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degree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graduate</w:t>
      </w:r>
    </w:p>
    <w:p>
      <w:pPr>
        <w:pStyle w:val="BodyText"/>
        <w:spacing w:before="1"/>
        <w:ind w:left="99"/>
      </w:pPr>
      <w:r>
        <w:rPr>
          <w:color w:val="6E6158"/>
        </w:rPr>
        <w:t>diploma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Comparative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Paul</w:t>
      </w:r>
      <w:r>
        <w:rPr>
          <w:color w:val="6E6158"/>
          <w:spacing w:val="11"/>
        </w:rPr>
        <w:t> </w:t>
      </w:r>
      <w:r>
        <w:rPr>
          <w:color w:val="6E6158"/>
        </w:rPr>
        <w:t>M.</w:t>
      </w:r>
      <w:r>
        <w:rPr>
          <w:color w:val="6E6158"/>
          <w:spacing w:val="11"/>
        </w:rPr>
        <w:t> </w:t>
      </w:r>
      <w:r>
        <w:rPr>
          <w:color w:val="6E6158"/>
        </w:rPr>
        <w:t>Hebert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Center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Louisiana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University.</w:t>
      </w:r>
    </w:p>
    <w:p>
      <w:pPr>
        <w:pStyle w:val="BodyText"/>
        <w:spacing w:before="23"/>
      </w:pPr>
    </w:p>
    <w:p>
      <w:pPr>
        <w:pStyle w:val="BodyText"/>
        <w:spacing w:line="292" w:lineRule="auto"/>
        <w:ind w:left="99" w:right="587"/>
      </w:pPr>
      <w:r>
        <w:rPr>
          <w:color w:val="6E6158"/>
        </w:rPr>
        <w:t>Trystan is dedicated to supporting construction industry clients with detailed and strategic legal</w:t>
      </w:r>
      <w:r>
        <w:rPr>
          <w:color w:val="6E6158"/>
          <w:spacing w:val="40"/>
        </w:rPr>
        <w:t> </w:t>
      </w:r>
      <w:r>
        <w:rPr>
          <w:color w:val="6E6158"/>
        </w:rPr>
        <w:t>guidance, ensuring that the solutions she provides are both practical and tailored to the unique</w:t>
      </w:r>
      <w:r>
        <w:rPr>
          <w:color w:val="6E6158"/>
          <w:spacing w:val="40"/>
        </w:rPr>
        <w:t> </w:t>
      </w:r>
      <w:r>
        <w:rPr>
          <w:color w:val="6E6158"/>
        </w:rPr>
        <w:t>challenges of the industry.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393" w:lineRule="auto" w:before="1"/>
        <w:ind w:left="848" w:right="3234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183938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3377pt;width:1.65pt;height:1.65pt;mso-position-horizontal-relative:page;mso-position-vertical-relative:paragraph;z-index:15729152" id="docshape7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302787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3.841503pt;width:1.65pt;height:1.65pt;mso-position-horizontal-relative:page;mso-position-vertical-relative:paragraph;z-index:15729664" id="docshape8" coordorigin="2166,477" coordsize="33,33" path="m2187,509l2178,509,2174,508,2168,501,2166,498,2166,489,2168,485,2174,478,2178,477,2187,477,2191,478,2197,485,2199,489,2199,493,2199,498,2197,501,2191,508,2187,5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Louisiana State University, Paul M. Hebert Law </w:t>
      </w:r>
      <w:r>
        <w:rPr>
          <w:color w:val="6E6158"/>
        </w:rPr>
        <w:t>Center</w:t>
      </w:r>
      <w:r>
        <w:rPr>
          <w:color w:val="6E6158"/>
        </w:rPr>
        <w:t> Louisiana Law Review Senior Editor, 2024</w:t>
      </w:r>
    </w:p>
    <w:p>
      <w:pPr>
        <w:pStyle w:val="BodyText"/>
        <w:spacing w:line="420" w:lineRule="auto" w:before="25"/>
        <w:ind w:left="351" w:right="57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80488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3767pt;width:1.65pt;height:1.65pt;mso-position-horizontal-relative:page;mso-position-vertical-relative:paragraph;z-index:15730176" id="docshape9" coordorigin="1670,127" coordsize="33,33" path="m1691,159l1682,159,1678,158,1671,151,1670,148,1670,139,1671,135,1678,128,1682,127,1691,127,1694,128,1701,135,1702,139,1702,143,1702,148,1701,151,1694,158,1691,1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338853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81414pt;width:1.65pt;height:1.65pt;mso-position-horizontal-relative:page;mso-position-vertical-relative:paragraph;z-index:15730688" id="docshape10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M.A., Oregon State University, </w:t>
      </w:r>
      <w:r>
        <w:rPr>
          <w:color w:val="6E6158"/>
        </w:rPr>
        <w:t>2021</w:t>
      </w:r>
      <w:r>
        <w:rPr>
          <w:color w:val="6E6158"/>
        </w:rPr>
        <w:t> B.A., University of Houston, 2018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59762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5719pt;width:1.65pt;height:1.65pt;mso-position-horizontal-relative:page;mso-position-vertical-relative:paragraph;z-index:15731200" id="docshape11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64684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3269pt;width:1.65pt;height:1.65pt;mso-position-horizontal-relative:page;mso-position-vertical-relative:paragraph;z-index:15731712" id="docshape12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AI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Update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Colorado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Employers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Blog,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12,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left="351" w:right="5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2224" id="docshape1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“Fundamentals of Construction Contracts” Rocky Mountain Masonry </w:t>
      </w:r>
      <w:r>
        <w:rPr>
          <w:color w:val="6E6158"/>
        </w:rPr>
        <w:t>Institute Certification Seminar, March 2025</w:t>
      </w:r>
    </w:p>
    <w:p>
      <w:pPr>
        <w:pStyle w:val="BodyText"/>
        <w:spacing w:line="292" w:lineRule="auto" w:before="132"/>
        <w:ind w:left="351" w:right="5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324035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4631pt;width:1.65pt;height:1.65pt;mso-position-horizontal-relative:page;mso-position-vertical-relative:paragraph;z-index:15732736" id="docshape14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“Conflict Resolution: Navigating Ethical Dilemmas Between General Contractors </w:t>
      </w:r>
      <w:r>
        <w:rPr>
          <w:color w:val="6E6158"/>
        </w:rPr>
        <w:t>and Subcontractors,” Monthly Educational Journal of the Foundation of the American Subcontractors Association, October 2024</w:t>
      </w:r>
    </w:p>
    <w:p>
      <w:pPr>
        <w:pStyle w:val="BodyText"/>
        <w:spacing w:line="302" w:lineRule="auto"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324051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5867pt;width:1.65pt;height:1.65pt;mso-position-horizontal-relative:page;mso-position-vertical-relative:paragraph;z-index:15733248" id="docshape15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“An Un-flippable Switch: How Religious Organizations in Texas are Seeking Widespread Religious</w:t>
      </w:r>
      <w:r>
        <w:rPr>
          <w:color w:val="6E6158"/>
          <w:spacing w:val="36"/>
        </w:rPr>
        <w:t> </w:t>
      </w:r>
      <w:r>
        <w:rPr>
          <w:color w:val="6E6158"/>
        </w:rPr>
        <w:t>Exemptions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Title</w:t>
      </w:r>
      <w:r>
        <w:rPr>
          <w:color w:val="6E6158"/>
          <w:spacing w:val="36"/>
        </w:rPr>
        <w:t> </w:t>
      </w:r>
      <w:r>
        <w:rPr>
          <w:color w:val="6E6158"/>
        </w:rPr>
        <w:t>VII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Bostock’s</w:t>
      </w:r>
      <w:r>
        <w:rPr>
          <w:color w:val="6E6158"/>
          <w:spacing w:val="36"/>
        </w:rPr>
        <w:t> </w:t>
      </w:r>
      <w:r>
        <w:rPr>
          <w:color w:val="6E6158"/>
        </w:rPr>
        <w:t>Prohibition</w:t>
      </w:r>
      <w:r>
        <w:rPr>
          <w:color w:val="6E6158"/>
          <w:spacing w:val="36"/>
        </w:rPr>
        <w:t> </w:t>
      </w:r>
      <w:r>
        <w:rPr>
          <w:color w:val="6E6158"/>
        </w:rPr>
        <w:t>on</w:t>
      </w:r>
      <w:r>
        <w:rPr>
          <w:color w:val="6E6158"/>
          <w:spacing w:val="36"/>
        </w:rPr>
        <w:t> </w:t>
      </w:r>
      <w:r>
        <w:rPr>
          <w:color w:val="6E6158"/>
        </w:rPr>
        <w:t>LGBTQ+</w:t>
      </w:r>
      <w:r>
        <w:rPr>
          <w:color w:val="6E6158"/>
          <w:spacing w:val="36"/>
        </w:rPr>
        <w:t> </w:t>
      </w:r>
      <w:r>
        <w:rPr>
          <w:color w:val="6E6158"/>
        </w:rPr>
        <w:t>Employment</w:t>
      </w:r>
    </w:p>
    <w:p>
      <w:pPr>
        <w:pStyle w:val="BodyText"/>
        <w:spacing w:line="224" w:lineRule="exact"/>
        <w:ind w:left="351"/>
      </w:pPr>
      <w:r>
        <w:rPr>
          <w:color w:val="6E6158"/>
        </w:rPr>
        <w:t>Discrimination,”</w:t>
      </w:r>
      <w:r>
        <w:rPr>
          <w:color w:val="6E6158"/>
          <w:spacing w:val="10"/>
        </w:rPr>
        <w:t> </w:t>
      </w:r>
      <w:r>
        <w:rPr>
          <w:color w:val="6E6158"/>
        </w:rPr>
        <w:t>Louisiana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Review,</w:t>
      </w:r>
      <w:r>
        <w:rPr>
          <w:color w:val="6E6158"/>
          <w:spacing w:val="11"/>
        </w:rPr>
        <w:t> </w:t>
      </w:r>
      <w:r>
        <w:rPr>
          <w:color w:val="6E6158"/>
        </w:rPr>
        <w:t>Vol.</w:t>
      </w:r>
      <w:r>
        <w:rPr>
          <w:color w:val="6E6158"/>
          <w:spacing w:val="10"/>
        </w:rPr>
        <w:t> </w:t>
      </w:r>
      <w:r>
        <w:rPr>
          <w:color w:val="6E6158"/>
        </w:rPr>
        <w:t>84,</w:t>
      </w:r>
      <w:r>
        <w:rPr>
          <w:color w:val="6E6158"/>
          <w:spacing w:val="10"/>
        </w:rPr>
        <w:t> </w:t>
      </w:r>
      <w:r>
        <w:rPr>
          <w:color w:val="6E6158"/>
        </w:rPr>
        <w:t>Issue</w:t>
      </w:r>
      <w:r>
        <w:rPr>
          <w:color w:val="6E6158"/>
          <w:spacing w:val="11"/>
        </w:rPr>
        <w:t> </w:t>
      </w:r>
      <w:r>
        <w:rPr>
          <w:color w:val="6E6158"/>
        </w:rPr>
        <w:t>2,</w:t>
      </w:r>
      <w:r>
        <w:rPr>
          <w:color w:val="6E6158"/>
          <w:spacing w:val="10"/>
        </w:rPr>
        <w:t> </w:t>
      </w:r>
      <w:r>
        <w:rPr>
          <w:color w:val="6E6158"/>
        </w:rPr>
        <w:t>Winter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64845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5911pt;width:1.65pt;height:1.65pt;mso-position-horizontal-relative:page;mso-position-vertical-relative:paragraph;z-index:15733760" id="docshape16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59520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86637pt;width:1.65pt;height:1.65pt;mso-position-horizontal-relative:page;mso-position-vertical-relative:paragraph;z-index:15734272" id="docshape17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169960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268pt;width:1.65pt;height:1.65pt;mso-position-horizontal-relative:page;mso-position-vertical-relative:paragraph;z-index:15734784" id="docshape18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melancon@fennemorelaw.com" TargetMode="External"/><Relationship Id="rId11" Type="http://schemas.openxmlformats.org/officeDocument/2006/relationships/hyperlink" Target="https://www.fennemorelaw.com/ai-law-update-for-colorado-employer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Trystan Melancon - Fennemore</dc:title>
  <dcterms:created xsi:type="dcterms:W3CDTF">2026-05-12T18:11:27Z</dcterms:created>
  <dcterms:modified xsi:type="dcterms:W3CDTF">2026-05-12T18:11:27Z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2026-05-12T00:00:00Z</vt:filetime>
  </property>
  <property fmtid="{D5CDD505-2E9C-101B-9397-08002B2CF9AE}" pid="6" name="Producer">
    <vt:lpwstr>Skia/PDF m146</vt:lpwstr>
  </property>
</Properties>
</file>