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EmoryWisho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42094" y="763308"/>
                            <a:ext cx="123634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0" w:firstLine="26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A.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EMORY WISHON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II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I</w:t>
                              </w:r>
                            </w:p>
                            <w:p>
                              <w:pPr>
                                <w:spacing w:before="48"/>
                                <w:ind w:left="30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23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94234" y="21334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559.446.3281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08793" y="2500373"/>
                            <a:ext cx="15030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ewishon@fennemorelaw.com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EmoryWishon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44;top:-3887;width:1947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0" w:firstLine="26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A.</w:t>
                        </w:r>
                        <w:r>
                          <w:rPr>
                            <w:color w:val="FFFFFF"/>
                            <w:spacing w:val="-16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EMORY WISHON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II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I</w:t>
                        </w:r>
                      </w:p>
                      <w:p>
                        <w:pPr>
                          <w:spacing w:before="48"/>
                          <w:ind w:left="30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230" w:right="0" w:firstLine="0"/>
                          <w:jc w:val="left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6;top:-1729;width:52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559.446.3281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</w:txbxContent>
                  </v:textbox>
                  <w10:wrap type="none"/>
                </v:shape>
                <v:shape style="position:absolute;left:7334;top:-1151;width:2367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ewishon@fennemorelaw.com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A.</w:t>
      </w:r>
      <w:r>
        <w:rPr>
          <w:color w:val="FF8100"/>
          <w:spacing w:val="7"/>
        </w:rPr>
        <w:t> </w:t>
      </w:r>
      <w:r>
        <w:rPr>
          <w:color w:val="FF8100"/>
        </w:rPr>
        <w:t>EMORY</w:t>
      </w:r>
      <w:r>
        <w:rPr>
          <w:color w:val="FF8100"/>
          <w:spacing w:val="8"/>
        </w:rPr>
        <w:t> </w:t>
      </w:r>
      <w:r>
        <w:rPr>
          <w:color w:val="FF8100"/>
        </w:rPr>
        <w:t>WISHON</w:t>
      </w:r>
      <w:r>
        <w:rPr>
          <w:color w:val="FF8100"/>
          <w:spacing w:val="8"/>
        </w:rPr>
        <w:t> </w:t>
      </w:r>
      <w:r>
        <w:rPr>
          <w:color w:val="FF8100"/>
          <w:spacing w:val="-5"/>
        </w:rPr>
        <w:t>III</w:t>
      </w:r>
    </w:p>
    <w:p>
      <w:pPr>
        <w:pStyle w:val="BodyText"/>
        <w:spacing w:line="302" w:lineRule="auto" w:before="146"/>
        <w:ind w:left="99" w:right="307"/>
      </w:pPr>
      <w:r>
        <w:rPr>
          <w:color w:val="6E6158"/>
        </w:rPr>
        <w:t>Emory Wishon III is an Attorney in Fennemore’s Business &amp; Finance practice group, where he</w:t>
      </w:r>
      <w:r>
        <w:rPr>
          <w:color w:val="6E6158"/>
          <w:spacing w:val="40"/>
        </w:rPr>
        <w:t> </w:t>
      </w:r>
      <w:r>
        <w:rPr>
          <w:color w:val="6E6158"/>
        </w:rPr>
        <w:t>counsels</w:t>
      </w:r>
      <w:r>
        <w:rPr>
          <w:color w:val="6E6158"/>
          <w:spacing w:val="31"/>
        </w:rPr>
        <w:t> </w:t>
      </w:r>
      <w:r>
        <w:rPr>
          <w:color w:val="6E6158"/>
        </w:rPr>
        <w:t>clients</w:t>
      </w:r>
      <w:r>
        <w:rPr>
          <w:color w:val="6E6158"/>
          <w:spacing w:val="31"/>
        </w:rPr>
        <w:t> </w:t>
      </w:r>
      <w:r>
        <w:rPr>
          <w:color w:val="6E6158"/>
        </w:rPr>
        <w:t>on</w:t>
      </w:r>
      <w:r>
        <w:rPr>
          <w:color w:val="6E6158"/>
          <w:spacing w:val="31"/>
        </w:rPr>
        <w:t> </w:t>
      </w:r>
      <w:r>
        <w:rPr>
          <w:color w:val="6E6158"/>
        </w:rPr>
        <w:t>estate</w:t>
      </w:r>
      <w:r>
        <w:rPr>
          <w:color w:val="6E6158"/>
          <w:spacing w:val="31"/>
        </w:rPr>
        <w:t> </w:t>
      </w:r>
      <w:r>
        <w:rPr>
          <w:color w:val="6E6158"/>
        </w:rPr>
        <w:t>planning,</w:t>
      </w:r>
      <w:r>
        <w:rPr>
          <w:color w:val="6E6158"/>
          <w:spacing w:val="31"/>
        </w:rPr>
        <w:t> </w:t>
      </w:r>
      <w:r>
        <w:rPr>
          <w:color w:val="6E6158"/>
        </w:rPr>
        <w:t>real</w:t>
      </w:r>
      <w:r>
        <w:rPr>
          <w:color w:val="6E6158"/>
          <w:spacing w:val="31"/>
        </w:rPr>
        <w:t> </w:t>
      </w:r>
      <w:r>
        <w:rPr>
          <w:color w:val="6E6158"/>
        </w:rPr>
        <w:t>estate,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business</w:t>
      </w:r>
      <w:r>
        <w:rPr>
          <w:color w:val="6E6158"/>
          <w:spacing w:val="31"/>
        </w:rPr>
        <w:t> </w:t>
      </w:r>
      <w:r>
        <w:rPr>
          <w:color w:val="6E6158"/>
        </w:rPr>
        <w:t>matters.</w:t>
      </w:r>
      <w:r>
        <w:rPr>
          <w:color w:val="6E6158"/>
          <w:spacing w:val="31"/>
        </w:rPr>
        <w:t> </w:t>
      </w:r>
      <w:r>
        <w:rPr>
          <w:color w:val="6E6158"/>
        </w:rPr>
        <w:t>With</w:t>
      </w:r>
      <w:r>
        <w:rPr>
          <w:color w:val="6E6158"/>
          <w:spacing w:val="31"/>
        </w:rPr>
        <w:t> </w:t>
      </w:r>
      <w:r>
        <w:rPr>
          <w:color w:val="6E6158"/>
        </w:rPr>
        <w:t>decades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</w:p>
    <w:p>
      <w:pPr>
        <w:pStyle w:val="BodyText"/>
        <w:spacing w:line="224" w:lineRule="exact"/>
        <w:ind w:left="99"/>
      </w:pPr>
      <w:r>
        <w:rPr>
          <w:color w:val="6E6158"/>
        </w:rPr>
        <w:t>experience,</w:t>
      </w:r>
      <w:r>
        <w:rPr>
          <w:color w:val="6E6158"/>
          <w:spacing w:val="16"/>
        </w:rPr>
        <w:t> </w:t>
      </w:r>
      <w:r>
        <w:rPr>
          <w:color w:val="6E6158"/>
        </w:rPr>
        <w:t>Emory</w:t>
      </w:r>
      <w:r>
        <w:rPr>
          <w:color w:val="6E6158"/>
          <w:spacing w:val="17"/>
        </w:rPr>
        <w:t> </w:t>
      </w:r>
      <w:r>
        <w:rPr>
          <w:color w:val="6E6158"/>
        </w:rPr>
        <w:t>provides</w:t>
      </w:r>
      <w:r>
        <w:rPr>
          <w:color w:val="6E6158"/>
          <w:spacing w:val="17"/>
        </w:rPr>
        <w:t> </w:t>
      </w:r>
      <w:r>
        <w:rPr>
          <w:color w:val="6E6158"/>
        </w:rPr>
        <w:t>comprehensive</w:t>
      </w:r>
      <w:r>
        <w:rPr>
          <w:color w:val="6E6158"/>
          <w:spacing w:val="17"/>
        </w:rPr>
        <w:t> </w:t>
      </w:r>
      <w:r>
        <w:rPr>
          <w:color w:val="6E6158"/>
        </w:rPr>
        <w:t>guidance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structuring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managing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business</w:t>
      </w:r>
    </w:p>
    <w:p>
      <w:pPr>
        <w:pStyle w:val="BodyText"/>
        <w:spacing w:before="52"/>
        <w:ind w:left="99"/>
      </w:pPr>
      <w:r>
        <w:rPr>
          <w:color w:val="6E6158"/>
        </w:rPr>
        <w:t>enterprises,</w:t>
      </w:r>
      <w:r>
        <w:rPr>
          <w:color w:val="6E6158"/>
          <w:spacing w:val="17"/>
        </w:rPr>
        <w:t> </w:t>
      </w:r>
      <w:r>
        <w:rPr>
          <w:color w:val="6E6158"/>
        </w:rPr>
        <w:t>including</w:t>
      </w:r>
      <w:r>
        <w:rPr>
          <w:color w:val="6E6158"/>
          <w:spacing w:val="17"/>
        </w:rPr>
        <w:t> </w:t>
      </w:r>
      <w:r>
        <w:rPr>
          <w:color w:val="6E6158"/>
        </w:rPr>
        <w:t>partnerships,</w:t>
      </w:r>
      <w:r>
        <w:rPr>
          <w:color w:val="6E6158"/>
          <w:spacing w:val="17"/>
        </w:rPr>
        <w:t> </w:t>
      </w:r>
      <w:r>
        <w:rPr>
          <w:color w:val="6E6158"/>
        </w:rPr>
        <w:t>corporations,</w:t>
      </w:r>
      <w:r>
        <w:rPr>
          <w:color w:val="6E6158"/>
          <w:spacing w:val="18"/>
        </w:rPr>
        <w:t> </w:t>
      </w:r>
      <w:r>
        <w:rPr>
          <w:color w:val="6E6158"/>
        </w:rPr>
        <w:t>limited</w:t>
      </w:r>
      <w:r>
        <w:rPr>
          <w:color w:val="6E6158"/>
          <w:spacing w:val="17"/>
        </w:rPr>
        <w:t> </w:t>
      </w:r>
      <w:r>
        <w:rPr>
          <w:color w:val="6E6158"/>
        </w:rPr>
        <w:t>liability</w:t>
      </w:r>
      <w:r>
        <w:rPr>
          <w:color w:val="6E6158"/>
          <w:spacing w:val="17"/>
        </w:rPr>
        <w:t> </w:t>
      </w:r>
      <w:r>
        <w:rPr>
          <w:color w:val="6E6158"/>
        </w:rPr>
        <w:t>companies,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joint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ventures.</w:t>
      </w:r>
    </w:p>
    <w:p>
      <w:pPr>
        <w:pStyle w:val="BodyText"/>
        <w:spacing w:before="14"/>
      </w:pPr>
    </w:p>
    <w:p>
      <w:pPr>
        <w:pStyle w:val="BodyText"/>
        <w:spacing w:line="297" w:lineRule="auto"/>
        <w:ind w:left="99" w:right="179"/>
      </w:pPr>
      <w:r>
        <w:rPr>
          <w:color w:val="6E6158"/>
        </w:rPr>
        <w:t>His</w:t>
      </w:r>
      <w:r>
        <w:rPr>
          <w:color w:val="6E6158"/>
          <w:spacing w:val="34"/>
        </w:rPr>
        <w:t> </w:t>
      </w:r>
      <w:r>
        <w:rPr>
          <w:color w:val="6E6158"/>
        </w:rPr>
        <w:t>real</w:t>
      </w:r>
      <w:r>
        <w:rPr>
          <w:color w:val="6E6158"/>
          <w:spacing w:val="34"/>
        </w:rPr>
        <w:t> </w:t>
      </w:r>
      <w:r>
        <w:rPr>
          <w:color w:val="6E6158"/>
        </w:rPr>
        <w:t>estate</w:t>
      </w:r>
      <w:r>
        <w:rPr>
          <w:color w:val="6E6158"/>
          <w:spacing w:val="34"/>
        </w:rPr>
        <w:t> </w:t>
      </w:r>
      <w:r>
        <w:rPr>
          <w:color w:val="6E6158"/>
        </w:rPr>
        <w:t>practice</w:t>
      </w:r>
      <w:r>
        <w:rPr>
          <w:color w:val="6E6158"/>
          <w:spacing w:val="34"/>
        </w:rPr>
        <w:t> </w:t>
      </w:r>
      <w:r>
        <w:rPr>
          <w:color w:val="6E6158"/>
        </w:rPr>
        <w:t>encompasses</w:t>
      </w:r>
      <w:r>
        <w:rPr>
          <w:color w:val="6E6158"/>
          <w:spacing w:val="34"/>
        </w:rPr>
        <w:t> </w:t>
      </w:r>
      <w:r>
        <w:rPr>
          <w:color w:val="6E6158"/>
        </w:rPr>
        <w:t>purchase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sale</w:t>
      </w:r>
      <w:r>
        <w:rPr>
          <w:color w:val="6E6158"/>
          <w:spacing w:val="34"/>
        </w:rPr>
        <w:t> </w:t>
      </w:r>
      <w:r>
        <w:rPr>
          <w:color w:val="6E6158"/>
        </w:rPr>
        <w:t>transactions,</w:t>
      </w:r>
      <w:r>
        <w:rPr>
          <w:color w:val="6E6158"/>
          <w:spacing w:val="34"/>
        </w:rPr>
        <w:t> </w:t>
      </w:r>
      <w:r>
        <w:rPr>
          <w:color w:val="6E6158"/>
        </w:rPr>
        <w:t>escrow</w:t>
      </w:r>
      <w:r>
        <w:rPr>
          <w:color w:val="6E6158"/>
          <w:spacing w:val="34"/>
        </w:rPr>
        <w:t> </w:t>
      </w:r>
      <w:r>
        <w:rPr>
          <w:color w:val="6E6158"/>
        </w:rPr>
        <w:t>matters,</w:t>
      </w:r>
      <w:r>
        <w:rPr>
          <w:color w:val="6E6158"/>
          <w:spacing w:val="34"/>
        </w:rPr>
        <w:t> </w:t>
      </w:r>
      <w:r>
        <w:rPr>
          <w:color w:val="6E6158"/>
        </w:rPr>
        <w:t>real estate development ventures, and representation of both borrowers and lenders in financing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residential,</w:t>
      </w:r>
      <w:r>
        <w:rPr>
          <w:color w:val="6E6158"/>
          <w:spacing w:val="34"/>
        </w:rPr>
        <w:t> </w:t>
      </w:r>
      <w:r>
        <w:rPr>
          <w:color w:val="6E6158"/>
        </w:rPr>
        <w:t>office,</w:t>
      </w:r>
      <w:r>
        <w:rPr>
          <w:color w:val="6E6158"/>
          <w:spacing w:val="34"/>
        </w:rPr>
        <w:t> </w:t>
      </w:r>
      <w:r>
        <w:rPr>
          <w:color w:val="6E6158"/>
        </w:rPr>
        <w:t>commercial,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industrial</w:t>
      </w:r>
      <w:r>
        <w:rPr>
          <w:color w:val="6E6158"/>
          <w:spacing w:val="34"/>
        </w:rPr>
        <w:t> </w:t>
      </w:r>
      <w:r>
        <w:rPr>
          <w:color w:val="6E6158"/>
        </w:rPr>
        <w:t>projects.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addition,</w:t>
      </w:r>
      <w:r>
        <w:rPr>
          <w:color w:val="6E6158"/>
          <w:spacing w:val="34"/>
        </w:rPr>
        <w:t> </w:t>
      </w:r>
      <w:r>
        <w:rPr>
          <w:color w:val="6E6158"/>
        </w:rPr>
        <w:t>Emory</w:t>
      </w:r>
      <w:r>
        <w:rPr>
          <w:color w:val="6E6158"/>
          <w:spacing w:val="34"/>
        </w:rPr>
        <w:t> </w:t>
      </w:r>
      <w:r>
        <w:rPr>
          <w:color w:val="6E6158"/>
        </w:rPr>
        <w:t>has</w:t>
      </w:r>
      <w:r>
        <w:rPr>
          <w:color w:val="6E6158"/>
          <w:spacing w:val="34"/>
        </w:rPr>
        <w:t> </w:t>
      </w:r>
      <w:r>
        <w:rPr>
          <w:color w:val="6E6158"/>
        </w:rPr>
        <w:t>developed</w:t>
      </w:r>
      <w:r>
        <w:rPr>
          <w:color w:val="6E6158"/>
          <w:spacing w:val="34"/>
        </w:rPr>
        <w:t> </w:t>
      </w:r>
      <w:r>
        <w:rPr>
          <w:color w:val="6E6158"/>
        </w:rPr>
        <w:t>a</w:t>
      </w:r>
    </w:p>
    <w:p>
      <w:pPr>
        <w:pStyle w:val="BodyText"/>
        <w:spacing w:line="229" w:lineRule="exact"/>
        <w:ind w:left="99"/>
      </w:pPr>
      <w:r>
        <w:rPr>
          <w:color w:val="6E6158"/>
        </w:rPr>
        <w:t>robust</w:t>
      </w:r>
      <w:r>
        <w:rPr>
          <w:color w:val="6E6158"/>
          <w:spacing w:val="13"/>
        </w:rPr>
        <w:t> </w:t>
      </w:r>
      <w:r>
        <w:rPr>
          <w:color w:val="6E6158"/>
        </w:rPr>
        <w:t>estate</w:t>
      </w:r>
      <w:r>
        <w:rPr>
          <w:color w:val="6E6158"/>
          <w:spacing w:val="14"/>
        </w:rPr>
        <w:t> </w:t>
      </w:r>
      <w:r>
        <w:rPr>
          <w:color w:val="6E6158"/>
        </w:rPr>
        <w:t>planning</w:t>
      </w:r>
      <w:r>
        <w:rPr>
          <w:color w:val="6E6158"/>
          <w:spacing w:val="14"/>
        </w:rPr>
        <w:t> </w:t>
      </w:r>
      <w:r>
        <w:rPr>
          <w:color w:val="6E6158"/>
        </w:rPr>
        <w:t>practice,</w:t>
      </w:r>
      <w:r>
        <w:rPr>
          <w:color w:val="6E6158"/>
          <w:spacing w:val="14"/>
        </w:rPr>
        <w:t> </w:t>
      </w:r>
      <w:r>
        <w:rPr>
          <w:color w:val="6E6158"/>
        </w:rPr>
        <w:t>advising</w:t>
      </w:r>
      <w:r>
        <w:rPr>
          <w:color w:val="6E6158"/>
          <w:spacing w:val="14"/>
        </w:rPr>
        <w:t> </w:t>
      </w:r>
      <w:r>
        <w:rPr>
          <w:color w:val="6E6158"/>
        </w:rPr>
        <w:t>clients</w:t>
      </w:r>
      <w:r>
        <w:rPr>
          <w:color w:val="6E6158"/>
          <w:spacing w:val="14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estate</w:t>
      </w:r>
      <w:r>
        <w:rPr>
          <w:color w:val="6E6158"/>
          <w:spacing w:val="14"/>
        </w:rPr>
        <w:t> </w:t>
      </w:r>
      <w:r>
        <w:rPr>
          <w:color w:val="6E6158"/>
        </w:rPr>
        <w:t>tax</w:t>
      </w:r>
      <w:r>
        <w:rPr>
          <w:color w:val="6E6158"/>
          <w:spacing w:val="14"/>
        </w:rPr>
        <w:t> </w:t>
      </w:r>
      <w:r>
        <w:rPr>
          <w:color w:val="6E6158"/>
        </w:rPr>
        <w:t>minimization,</w:t>
      </w:r>
      <w:r>
        <w:rPr>
          <w:color w:val="6E6158"/>
          <w:spacing w:val="14"/>
        </w:rPr>
        <w:t> </w:t>
      </w:r>
      <w:r>
        <w:rPr>
          <w:color w:val="6E6158"/>
        </w:rPr>
        <w:t>probate,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trust</w:t>
      </w:r>
    </w:p>
    <w:p>
      <w:pPr>
        <w:pStyle w:val="BodyText"/>
        <w:spacing w:line="297" w:lineRule="auto" w:before="52"/>
        <w:ind w:left="99" w:right="307"/>
      </w:pPr>
      <w:r>
        <w:rPr>
          <w:color w:val="6E6158"/>
        </w:rPr>
        <w:t>administration, charitable giving, and lifetime planning services such as wills, living trusts, and</w:t>
      </w:r>
      <w:r>
        <w:rPr>
          <w:color w:val="6E6158"/>
          <w:spacing w:val="40"/>
        </w:rPr>
        <w:t> </w:t>
      </w:r>
      <w:r>
        <w:rPr>
          <w:color w:val="6E6158"/>
        </w:rPr>
        <w:t>powers of attorney. His thoughtful counsel helps individuals and families preserve and </w:t>
      </w:r>
      <w:r>
        <w:rPr>
          <w:color w:val="6E6158"/>
        </w:rPr>
        <w:t>transfer</w:t>
      </w:r>
      <w:r>
        <w:rPr>
          <w:color w:val="6E6158"/>
          <w:spacing w:val="40"/>
        </w:rPr>
        <w:t> </w:t>
      </w:r>
      <w:r>
        <w:rPr>
          <w:color w:val="6E6158"/>
        </w:rPr>
        <w:t>wealth across generations.</w:t>
      </w:r>
    </w:p>
    <w:p>
      <w:pPr>
        <w:pStyle w:val="BodyText"/>
        <w:spacing w:line="295" w:lineRule="auto" w:before="192"/>
        <w:ind w:left="99" w:right="307"/>
      </w:pPr>
      <w:r>
        <w:rPr>
          <w:color w:val="6E6158"/>
        </w:rPr>
        <w:t>Beyond his legal practice, Emory is deeply engaged in the Central Valley community, where he</w:t>
      </w:r>
      <w:r>
        <w:rPr>
          <w:color w:val="6E6158"/>
          <w:spacing w:val="40"/>
        </w:rPr>
        <w:t> </w:t>
      </w:r>
      <w:r>
        <w:rPr>
          <w:color w:val="6E6158"/>
        </w:rPr>
        <w:t>has</w:t>
      </w:r>
      <w:r>
        <w:rPr>
          <w:color w:val="6E6158"/>
          <w:spacing w:val="25"/>
        </w:rPr>
        <w:t> </w:t>
      </w:r>
      <w:r>
        <w:rPr>
          <w:color w:val="6E6158"/>
        </w:rPr>
        <w:t>held</w:t>
      </w:r>
      <w:r>
        <w:rPr>
          <w:color w:val="6E6158"/>
          <w:spacing w:val="25"/>
        </w:rPr>
        <w:t> </w:t>
      </w:r>
      <w:r>
        <w:rPr>
          <w:color w:val="6E6158"/>
        </w:rPr>
        <w:t>numerous</w:t>
      </w:r>
      <w:r>
        <w:rPr>
          <w:color w:val="6E6158"/>
          <w:spacing w:val="25"/>
        </w:rPr>
        <w:t> </w:t>
      </w:r>
      <w:r>
        <w:rPr>
          <w:color w:val="6E6158"/>
        </w:rPr>
        <w:t>leadership</w:t>
      </w:r>
      <w:r>
        <w:rPr>
          <w:color w:val="6E6158"/>
          <w:spacing w:val="25"/>
        </w:rPr>
        <w:t> </w:t>
      </w:r>
      <w:r>
        <w:rPr>
          <w:color w:val="6E6158"/>
        </w:rPr>
        <w:t>roles.</w:t>
      </w:r>
      <w:r>
        <w:rPr>
          <w:color w:val="6E6158"/>
          <w:spacing w:val="25"/>
        </w:rPr>
        <w:t> </w:t>
      </w:r>
      <w:r>
        <w:rPr>
          <w:color w:val="6E6158"/>
        </w:rPr>
        <w:t>As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Member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Board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Governors</w:t>
      </w:r>
      <w:r>
        <w:rPr>
          <w:color w:val="6E6158"/>
          <w:spacing w:val="25"/>
        </w:rPr>
        <w:t> </w:t>
      </w:r>
      <w:r>
        <w:rPr>
          <w:color w:val="6E6158"/>
        </w:rPr>
        <w:t>for</w:t>
      </w:r>
      <w:r>
        <w:rPr>
          <w:color w:val="6E6158"/>
          <w:spacing w:val="25"/>
        </w:rPr>
        <w:t> </w:t>
      </w:r>
      <w:r>
        <w:rPr>
          <w:color w:val="6E6158"/>
        </w:rPr>
        <w:t>Fresno</w:t>
      </w:r>
      <w:r>
        <w:rPr>
          <w:color w:val="6E6158"/>
          <w:spacing w:val="25"/>
        </w:rPr>
        <w:t> </w:t>
      </w:r>
      <w:r>
        <w:rPr>
          <w:color w:val="6E6158"/>
        </w:rPr>
        <w:t>State since 1996, he served as Chair in 2008 to 2011 and as Investment Committee Chair for 19 years,</w:t>
      </w:r>
      <w:r>
        <w:rPr>
          <w:color w:val="6E6158"/>
          <w:spacing w:val="80"/>
        </w:rPr>
        <w:t> </w:t>
      </w:r>
      <w:r>
        <w:rPr>
          <w:color w:val="6E6158"/>
        </w:rPr>
        <w:t>He has been a Board Member of Murphy Bank since 2000 and contributes his insights in regional</w:t>
      </w:r>
      <w:r>
        <w:rPr>
          <w:color w:val="6E6158"/>
          <w:spacing w:val="40"/>
        </w:rPr>
        <w:t> </w:t>
      </w:r>
      <w:r>
        <w:rPr>
          <w:color w:val="6E6158"/>
        </w:rPr>
        <w:t>entrepreneurial activities through Fresno State and other groups.</w:t>
      </w:r>
    </w:p>
    <w:p>
      <w:pPr>
        <w:pStyle w:val="Heading1"/>
        <w:spacing w:before="169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Stanford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line="420" w:lineRule="auto" w:before="174"/>
        <w:ind w:left="99" w:right="4746"/>
      </w:pPr>
      <w:r>
        <w:rPr>
          <w:color w:val="6E6158"/>
        </w:rPr>
        <w:t>M.B.A., Finance, University of California, </w:t>
      </w:r>
      <w:r>
        <w:rPr>
          <w:color w:val="6E6158"/>
        </w:rPr>
        <w:t>Berkeley</w:t>
      </w:r>
      <w:r>
        <w:rPr>
          <w:color w:val="6E6158"/>
        </w:rPr>
        <w:t> B.S., Brown University</w:t>
      </w:r>
    </w:p>
    <w:p>
      <w:pPr>
        <w:pStyle w:val="Heading1"/>
        <w:spacing w:before="28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35"/>
        <w:rPr>
          <w:b/>
        </w:rPr>
      </w:pPr>
    </w:p>
    <w:p>
      <w:pPr>
        <w:pStyle w:val="BodyText"/>
        <w:spacing w:line="420" w:lineRule="auto" w:before="1"/>
        <w:ind w:left="99" w:right="7164"/>
      </w:pPr>
      <w:r>
        <w:rPr>
          <w:color w:val="6E6158"/>
        </w:rPr>
        <w:t>Business &amp; </w:t>
      </w:r>
      <w:r>
        <w:rPr>
          <w:color w:val="6E6158"/>
        </w:rPr>
        <w:t>Finance Real Estate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BodyText"/>
        <w:spacing w:after="0" w:line="231" w:lineRule="exact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292" w:lineRule="auto"/>
        <w:ind w:left="99"/>
      </w:pPr>
      <w:r>
        <w:rPr>
          <w:color w:val="6E6158"/>
        </w:rPr>
        <w:t>Chairman, California State University Fresno, Foundation Board of Governors, 2008–2011; Board</w:t>
      </w:r>
      <w:r>
        <w:rPr>
          <w:color w:val="6E6158"/>
          <w:spacing w:val="40"/>
        </w:rPr>
        <w:t> </w:t>
      </w:r>
      <w:r>
        <w:rPr>
          <w:color w:val="6E6158"/>
        </w:rPr>
        <w:t>Member, 1996–Present</w:t>
      </w:r>
    </w:p>
    <w:p>
      <w:pPr>
        <w:pStyle w:val="BodyText"/>
        <w:spacing w:line="292" w:lineRule="auto" w:before="131"/>
        <w:ind w:left="99" w:right="307"/>
      </w:pPr>
      <w:r>
        <w:rPr>
          <w:color w:val="6E6158"/>
        </w:rPr>
        <w:t>Chairman, Investment Committee, California State University, Fresno, Foundation Board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Governors, 2000–2008, 2015–Present</w:t>
      </w:r>
    </w:p>
    <w:p>
      <w:pPr>
        <w:pStyle w:val="BodyText"/>
        <w:spacing w:line="420" w:lineRule="auto" w:before="124"/>
        <w:ind w:left="99" w:right="4746"/>
      </w:pPr>
      <w:r>
        <w:rPr>
          <w:color w:val="6E6158"/>
        </w:rPr>
        <w:t>Board Member, Murphy Bank, 2000–</w:t>
      </w:r>
      <w:r>
        <w:rPr>
          <w:color w:val="6E6158"/>
        </w:rPr>
        <w:t>Present Board Member, HubUx, 2020</w:t>
      </w:r>
    </w:p>
    <w:p>
      <w:pPr>
        <w:pStyle w:val="BodyText"/>
        <w:spacing w:before="6"/>
        <w:ind w:left="99"/>
      </w:pPr>
      <w:r>
        <w:rPr>
          <w:color w:val="6E6158"/>
        </w:rPr>
        <w:t>Board</w:t>
      </w:r>
      <w:r>
        <w:rPr>
          <w:color w:val="6E6158"/>
          <w:spacing w:val="10"/>
        </w:rPr>
        <w:t> </w:t>
      </w: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Solar</w:t>
      </w:r>
      <w:r>
        <w:rPr>
          <w:color w:val="6E6158"/>
          <w:spacing w:val="11"/>
        </w:rPr>
        <w:t> </w:t>
      </w:r>
      <w:r>
        <w:rPr>
          <w:color w:val="6E6158"/>
        </w:rPr>
        <w:t>Negotiators,</w:t>
      </w:r>
      <w:r>
        <w:rPr>
          <w:color w:val="6E6158"/>
          <w:spacing w:val="11"/>
        </w:rPr>
        <w:t> </w:t>
      </w:r>
      <w:r>
        <w:rPr>
          <w:color w:val="6E6158"/>
        </w:rPr>
        <w:t>Solar</w:t>
      </w:r>
      <w:r>
        <w:rPr>
          <w:color w:val="6E6158"/>
          <w:spacing w:val="11"/>
        </w:rPr>
        <w:t> </w:t>
      </w:r>
      <w:r>
        <w:rPr>
          <w:color w:val="6E6158"/>
        </w:rPr>
        <w:t>Maintenance</w:t>
      </w:r>
      <w:r>
        <w:rPr>
          <w:color w:val="6E6158"/>
          <w:spacing w:val="11"/>
        </w:rPr>
        <w:t> </w:t>
      </w:r>
      <w:r>
        <w:rPr>
          <w:color w:val="6E6158"/>
        </w:rPr>
        <w:t>Pros,</w:t>
      </w:r>
      <w:r>
        <w:rPr>
          <w:color w:val="6E6158"/>
          <w:spacing w:val="11"/>
        </w:rPr>
        <w:t> </w:t>
      </w:r>
      <w:r>
        <w:rPr>
          <w:color w:val="6E6158"/>
        </w:rPr>
        <w:t>2019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Present</w:t>
      </w:r>
    </w:p>
    <w:p>
      <w:pPr>
        <w:pStyle w:val="BodyText"/>
        <w:spacing w:before="174"/>
        <w:ind w:left="99"/>
      </w:pPr>
      <w:r>
        <w:rPr>
          <w:color w:val="6E6158"/>
        </w:rPr>
        <w:t>Chair,</w:t>
      </w:r>
      <w:r>
        <w:rPr>
          <w:color w:val="6E6158"/>
          <w:spacing w:val="10"/>
        </w:rPr>
        <w:t> </w:t>
      </w:r>
      <w:r>
        <w:rPr>
          <w:color w:val="6E6158"/>
        </w:rPr>
        <w:t>New</w:t>
      </w:r>
      <w:r>
        <w:rPr>
          <w:color w:val="6E6158"/>
          <w:spacing w:val="10"/>
        </w:rPr>
        <w:t> </w:t>
      </w:r>
      <w:r>
        <w:rPr>
          <w:color w:val="6E6158"/>
        </w:rPr>
        <w:t>California</w:t>
      </w:r>
      <w:r>
        <w:rPr>
          <w:color w:val="6E6158"/>
          <w:spacing w:val="10"/>
        </w:rPr>
        <w:t> </w:t>
      </w:r>
      <w:r>
        <w:rPr>
          <w:color w:val="6E6158"/>
        </w:rPr>
        <w:t>Ventures</w:t>
      </w:r>
      <w:r>
        <w:rPr>
          <w:color w:val="6E6158"/>
          <w:spacing w:val="10"/>
        </w:rPr>
        <w:t> </w:t>
      </w:r>
      <w:r>
        <w:rPr>
          <w:color w:val="6E6158"/>
        </w:rPr>
        <w:t>LLC</w:t>
      </w:r>
      <w:r>
        <w:rPr>
          <w:color w:val="6E6158"/>
          <w:spacing w:val="10"/>
        </w:rPr>
        <w:t> </w:t>
      </w:r>
      <w:r>
        <w:rPr>
          <w:color w:val="6E6158"/>
        </w:rPr>
        <w:t>(a</w:t>
      </w:r>
      <w:r>
        <w:rPr>
          <w:color w:val="6E6158"/>
          <w:spacing w:val="10"/>
        </w:rPr>
        <w:t> </w:t>
      </w:r>
      <w:r>
        <w:rPr>
          <w:color w:val="6E6158"/>
        </w:rPr>
        <w:t>Fresno</w:t>
      </w:r>
      <w:r>
        <w:rPr>
          <w:color w:val="6E6158"/>
          <w:spacing w:val="10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venture</w:t>
      </w:r>
      <w:r>
        <w:rPr>
          <w:color w:val="6E6158"/>
          <w:spacing w:val="10"/>
        </w:rPr>
        <w:t> </w:t>
      </w:r>
      <w:r>
        <w:rPr>
          <w:color w:val="6E6158"/>
        </w:rPr>
        <w:t>investment</w:t>
      </w:r>
      <w:r>
        <w:rPr>
          <w:color w:val="6E6158"/>
          <w:spacing w:val="10"/>
        </w:rPr>
        <w:t> </w:t>
      </w:r>
      <w:r>
        <w:rPr>
          <w:color w:val="6E6158"/>
        </w:rPr>
        <w:t>fund),</w:t>
      </w:r>
      <w:r>
        <w:rPr>
          <w:color w:val="6E6158"/>
          <w:spacing w:val="10"/>
        </w:rPr>
        <w:t> </w:t>
      </w:r>
      <w:r>
        <w:rPr>
          <w:color w:val="6E6158"/>
        </w:rPr>
        <w:t>2016–</w:t>
      </w:r>
      <w:r>
        <w:rPr>
          <w:color w:val="6E6158"/>
          <w:spacing w:val="-4"/>
        </w:rPr>
        <w:t>2019</w:t>
      </w:r>
    </w:p>
    <w:p>
      <w:pPr>
        <w:pStyle w:val="BodyText"/>
        <w:spacing w:line="420" w:lineRule="auto" w:before="174"/>
        <w:ind w:left="99"/>
      </w:pPr>
      <w:r>
        <w:rPr>
          <w:color w:val="6E6158"/>
        </w:rPr>
        <w:t>Chair, Central Valley Angel Group (a regional entrepreneurial investment group), 2015–Present Chairman, CSUF School of Social Sciences Advisory Committee, 1994–2006</w:t>
      </w:r>
    </w:p>
    <w:p>
      <w:pPr>
        <w:pStyle w:val="BodyText"/>
        <w:spacing w:line="420" w:lineRule="auto" w:before="6"/>
        <w:ind w:left="99" w:right="3376"/>
      </w:pPr>
      <w:r>
        <w:rPr>
          <w:color w:val="6E6158"/>
        </w:rPr>
        <w:t>Board Member, Kenneth Maddy Institute, CSUF, 1999–</w:t>
      </w:r>
      <w:r>
        <w:rPr>
          <w:color w:val="6E6158"/>
        </w:rPr>
        <w:t>2005 Board Member, Fresno Business Council, 1999–2001</w:t>
      </w:r>
    </w:p>
    <w:p>
      <w:pPr>
        <w:pStyle w:val="BodyText"/>
        <w:spacing w:line="422" w:lineRule="auto"/>
        <w:ind w:left="99" w:right="2203"/>
      </w:pPr>
      <w:r>
        <w:rPr>
          <w:color w:val="6E6158"/>
        </w:rPr>
        <w:t>Committee Chair, Capital Campaign, Ronald McDonald House, 1999–</w:t>
      </w:r>
      <w:r>
        <w:rPr>
          <w:color w:val="6E6158"/>
        </w:rPr>
        <w:t>2000 Board Member, Court Facilities Foundation of Fresno County, 1998–2004 Board Member, Central Sierra Historical Society, 1997– Present</w:t>
      </w:r>
    </w:p>
    <w:p>
      <w:pPr>
        <w:pStyle w:val="BodyText"/>
        <w:spacing w:line="422" w:lineRule="auto"/>
        <w:ind w:left="99" w:right="2203"/>
      </w:pPr>
      <w:r>
        <w:rPr>
          <w:color w:val="6E6158"/>
        </w:rPr>
        <w:t>President, Fresno Chamber of Commerce, 1997, Board Member, 1994–</w:t>
      </w:r>
      <w:r>
        <w:rPr>
          <w:color w:val="6E6158"/>
        </w:rPr>
        <w:t>1999 Chair, San Joaquin Country Club 1983-1985, Board Member 1981-1985 Trustee Emeritus, Past President, Fresno Metropolitan Museum, 1995–2008 President, Fresno Historical Society, 1984</w:t>
      </w:r>
    </w:p>
    <w:p>
      <w:pPr>
        <w:pStyle w:val="Heading1"/>
        <w:spacing w:before="277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California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ewisho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 Emory Wishon III - Fennemore</dc:title>
  <dcterms:created xsi:type="dcterms:W3CDTF">2026-06-12T09:38:48Z</dcterms:created>
  <dcterms:modified xsi:type="dcterms:W3CDTF">2026-06-12T09:38:48Z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