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 w:firstLine="0"/>
        <w:rPr>
          <w:rFonts w:ascii="Times New Roman"/>
          <w:sz w:val="42"/>
        </w:rPr>
      </w:pPr>
    </w:p>
    <w:p>
      <w:pPr>
        <w:pStyle w:val="BodyText"/>
        <w:spacing w:before="210"/>
        <w:ind w:left="0" w:firstLine="0"/>
        <w:rPr>
          <w:rFonts w:ascii="Times New Roman"/>
          <w:sz w:val="42"/>
        </w:rPr>
      </w:pPr>
    </w:p>
    <w:p>
      <w:pPr>
        <w:pStyle w:val="Heading1"/>
        <w:spacing w:line="220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4928">
                <wp:simplePos x="0" y="0"/>
                <wp:positionH relativeFrom="page">
                  <wp:posOffset>848486</wp:posOffset>
                </wp:positionH>
                <wp:positionV relativeFrom="paragraph">
                  <wp:posOffset>-749882</wp:posOffset>
                </wp:positionV>
                <wp:extent cx="6071870" cy="41859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185920"/>
                          <a:chExt cx="6071870" cy="41859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144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47165">
                                <a:moveTo>
                                  <a:pt x="6071591" y="1446847"/>
                                </a:moveTo>
                                <a:lnTo>
                                  <a:pt x="0" y="1446847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46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59.045898pt;width:478.1pt;height:329.6pt;mso-position-horizontal-relative:page;mso-position-vertical-relative:paragraph;z-index:-15831552" id="docshapegroup1" coordorigin="1336,-1181" coordsize="9562,6592">
                <v:rect style="position:absolute;left:1336;top:3131;width:9562;height:2279" id="docshape2" filled="true" fillcolor="#002e6d" stroked="false">
                  <v:fill type="solid"/>
                </v:rect>
                <v:shape style="position:absolute;left:1336;top:-1181;width:2165;height:424" type="#_x0000_t75" id="docshape3" alt="Fennemore" href="https://www.fennemorelaw.com/" stroked="false">
                  <v:imagedata r:id="rId5" o:title=""/>
                </v:shape>
                <v:shape style="position:absolute;left:1336;top:-758;width:9562;height:3890" type="#_x0000_t75" id="docshape4" stroked="false">
                  <v:imagedata r:id="rId7" o:title=""/>
                </v:shape>
                <v:rect style="position:absolute;left:1336;top:-758;width:9562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  <w:r>
        <w:rPr>
          <w:color w:val="FFFFFF"/>
        </w:rPr>
        <w:t>Helping Agribusiness Thrive </w:t>
      </w:r>
      <w:r>
        <w:rPr>
          <w:color w:val="FFFFFF"/>
        </w:rPr>
        <w:t>Locally, Nationally and Internationally</w:t>
      </w:r>
    </w:p>
    <w:p>
      <w:pPr>
        <w:pStyle w:val="BodyText"/>
        <w:spacing w:before="96"/>
        <w:ind w:left="0" w:firstLine="0"/>
        <w:rPr>
          <w:b/>
          <w:sz w:val="42"/>
        </w:rPr>
      </w:pPr>
    </w:p>
    <w:p>
      <w:pPr>
        <w:spacing w:line="242" w:lineRule="auto" w:before="0"/>
        <w:ind w:left="689" w:right="693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Our experienced agricultural attorneys provide a broad range of assistance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to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clients,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both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domestically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internationally,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in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many areas of agribusiness and agricultural law.</w:t>
      </w:r>
    </w:p>
    <w:p>
      <w:pPr>
        <w:pStyle w:val="BodyText"/>
        <w:spacing w:before="0"/>
        <w:ind w:left="0" w:firstLine="0"/>
        <w:rPr>
          <w:sz w:val="22"/>
        </w:rPr>
      </w:pPr>
    </w:p>
    <w:p>
      <w:pPr>
        <w:pStyle w:val="BodyText"/>
        <w:spacing w:before="0"/>
        <w:ind w:left="0" w:firstLine="0"/>
        <w:rPr>
          <w:sz w:val="22"/>
        </w:rPr>
      </w:pPr>
    </w:p>
    <w:p>
      <w:pPr>
        <w:pStyle w:val="BodyText"/>
        <w:spacing w:before="0"/>
        <w:ind w:left="0" w:firstLine="0"/>
        <w:rPr>
          <w:sz w:val="22"/>
        </w:rPr>
      </w:pPr>
    </w:p>
    <w:p>
      <w:pPr>
        <w:pStyle w:val="BodyText"/>
        <w:spacing w:before="0"/>
        <w:ind w:left="0" w:firstLine="0"/>
        <w:rPr>
          <w:sz w:val="22"/>
        </w:rPr>
      </w:pPr>
    </w:p>
    <w:p>
      <w:pPr>
        <w:pStyle w:val="BodyText"/>
        <w:spacing w:before="59"/>
        <w:ind w:left="0" w:firstLine="0"/>
        <w:rPr>
          <w:sz w:val="22"/>
        </w:rPr>
      </w:pPr>
    </w:p>
    <w:p>
      <w:pPr>
        <w:spacing w:line="348" w:lineRule="auto" w:before="0"/>
        <w:ind w:left="1032" w:right="1031" w:firstLine="0"/>
        <w:jc w:val="center"/>
        <w:rPr>
          <w:sz w:val="16"/>
        </w:rPr>
      </w:pPr>
      <w:r>
        <w:rPr>
          <w:color w:val="FFFFFF"/>
          <w:spacing w:val="-2"/>
          <w:sz w:val="16"/>
        </w:rPr>
        <w:t>With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offices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Arizona,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California,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Texas,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we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serve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clients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operating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largest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food </w:t>
      </w:r>
      <w:r>
        <w:rPr>
          <w:color w:val="FFFFFF"/>
          <w:spacing w:val="-4"/>
          <w:sz w:val="16"/>
        </w:rPr>
        <w:t>producing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region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United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States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one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of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largest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food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producing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regions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world 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primary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ports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of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entry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for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importing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exporting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fresh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fruits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vegetables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between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the </w:t>
      </w:r>
      <w:r>
        <w:rPr>
          <w:color w:val="FFFFFF"/>
          <w:sz w:val="16"/>
        </w:rPr>
        <w:t>United States and Mexico.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19"/>
        <w:ind w:left="0" w:firstLine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3"/>
      </w:pPr>
      <w:r>
        <w:rPr>
          <w:color w:val="002E6B"/>
          <w:spacing w:val="-2"/>
        </w:rPr>
        <w:t>LEADERSHIP</w:t>
      </w:r>
    </w:p>
    <w:p>
      <w:pPr>
        <w:pStyle w:val="BodyText"/>
        <w:spacing w:before="38"/>
        <w:ind w:left="0" w:firstLine="0"/>
        <w:rPr>
          <w:b/>
          <w:sz w:val="20"/>
        </w:rPr>
      </w:pPr>
    </w:p>
    <w:p>
      <w:pPr>
        <w:spacing w:before="1"/>
        <w:ind w:left="316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-21300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35540</wp:posOffset>
            </wp:positionV>
            <wp:extent cx="1395174" cy="139517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spacing w:val="-2"/>
            <w:sz w:val="16"/>
          </w:rPr>
          <w:t>AGRIBUSINESS</w:t>
        </w:r>
      </w:hyperlink>
    </w:p>
    <w:p>
      <w:pPr>
        <w:pStyle w:val="BodyText"/>
        <w:spacing w:before="45"/>
        <w:ind w:left="0" w:firstLine="0"/>
        <w:rPr>
          <w:sz w:val="16"/>
        </w:rPr>
      </w:pPr>
    </w:p>
    <w:p>
      <w:pPr>
        <w:spacing w:line="218" w:lineRule="auto" w:before="0"/>
        <w:ind w:left="3167" w:right="2951" w:firstLine="0"/>
        <w:jc w:val="left"/>
        <w:rPr>
          <w:sz w:val="16"/>
        </w:rPr>
      </w:pPr>
      <w:hyperlink r:id="rId11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1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53"/>
        <w:ind w:left="0" w:firstLine="0"/>
        <w:rPr>
          <w:sz w:val="16"/>
        </w:rPr>
      </w:pPr>
    </w:p>
    <w:p>
      <w:pPr>
        <w:spacing w:line="199" w:lineRule="auto" w:before="1"/>
        <w:ind w:left="3167" w:right="3000" w:firstLine="0"/>
        <w:jc w:val="left"/>
        <w:rPr>
          <w:b/>
          <w:sz w:val="16"/>
        </w:rPr>
      </w:pPr>
      <w:hyperlink r:id="rId12">
        <w:r>
          <w:rPr>
            <w:b/>
            <w:sz w:val="16"/>
          </w:rPr>
          <w:t>Kimberly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A.</w:t>
        </w:r>
      </w:hyperlink>
      <w:r>
        <w:rPr>
          <w:b/>
          <w:sz w:val="16"/>
        </w:rPr>
        <w:t> </w:t>
      </w:r>
      <w:hyperlink r:id="rId12">
        <w:r>
          <w:rPr>
            <w:b/>
            <w:spacing w:val="-2"/>
            <w:sz w:val="16"/>
          </w:rPr>
          <w:t>Arana</w:t>
        </w:r>
      </w:hyperlink>
    </w:p>
    <w:p>
      <w:pPr>
        <w:spacing w:line="199" w:lineRule="auto" w:before="16"/>
        <w:ind w:left="3167" w:right="2951" w:firstLine="0"/>
        <w:jc w:val="left"/>
        <w:rPr>
          <w:sz w:val="12"/>
        </w:rPr>
      </w:pPr>
      <w:r>
        <w:rPr>
          <w:color w:val="6E6158"/>
          <w:sz w:val="12"/>
        </w:rPr>
        <w:t>Agribusiness</w:t>
      </w:r>
      <w:r>
        <w:rPr>
          <w:color w:val="6E6158"/>
          <w:spacing w:val="-9"/>
          <w:sz w:val="12"/>
        </w:rPr>
        <w:t> </w:t>
      </w:r>
      <w:r>
        <w:rPr>
          <w:color w:val="6E6158"/>
          <w:sz w:val="12"/>
        </w:rPr>
        <w:t>Group</w:t>
      </w:r>
      <w:r>
        <w:rPr>
          <w:color w:val="6E6158"/>
          <w:spacing w:val="40"/>
          <w:sz w:val="12"/>
        </w:rPr>
        <w:t> </w:t>
      </w:r>
      <w:r>
        <w:rPr>
          <w:color w:val="6E6158"/>
          <w:spacing w:val="-4"/>
          <w:sz w:val="12"/>
        </w:rPr>
        <w:t>Chair</w:t>
      </w:r>
    </w:p>
    <w:p>
      <w:pPr>
        <w:spacing w:before="78"/>
        <w:ind w:left="3167" w:right="0" w:firstLine="0"/>
        <w:jc w:val="left"/>
        <w:rPr>
          <w:b/>
          <w:sz w:val="12"/>
        </w:rPr>
      </w:pPr>
      <w:hyperlink r:id="rId13">
        <w:r>
          <w:rPr>
            <w:b/>
            <w:spacing w:val="-2"/>
            <w:sz w:val="12"/>
          </w:rPr>
          <w:t>Nogales</w:t>
        </w:r>
      </w:hyperlink>
    </w:p>
    <w:p>
      <w:pPr>
        <w:spacing w:before="15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520.281.3481</w:t>
      </w:r>
    </w:p>
    <w:p>
      <w:pPr>
        <w:spacing w:before="8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520.281.3495</w:t>
      </w:r>
    </w:p>
    <w:p>
      <w:pPr>
        <w:spacing w:line="266" w:lineRule="auto" w:before="15"/>
        <w:ind w:left="3167" w:right="3000" w:firstLine="0"/>
        <w:jc w:val="left"/>
        <w:rPr>
          <w:sz w:val="12"/>
        </w:rPr>
      </w:pPr>
      <w:hyperlink r:id="rId14">
        <w:r>
          <w:rPr>
            <w:color w:val="002E6B"/>
            <w:spacing w:val="-2"/>
            <w:sz w:val="12"/>
            <w:u w:val="single" w:color="002E6B"/>
          </w:rPr>
          <w:t>karana@fennemorela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4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pStyle w:val="BodyText"/>
        <w:spacing w:before="0"/>
        <w:ind w:left="0" w:firstLin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0"/>
        <w:ind w:left="0" w:firstLine="0"/>
        <w:rPr>
          <w:sz w:val="16"/>
        </w:rPr>
      </w:pPr>
    </w:p>
    <w:p>
      <w:pPr>
        <w:pStyle w:val="BodyText"/>
        <w:spacing w:before="130"/>
        <w:ind w:left="0" w:firstLine="0"/>
        <w:rPr>
          <w:sz w:val="16"/>
        </w:rPr>
      </w:pPr>
    </w:p>
    <w:p>
      <w:pPr>
        <w:spacing w:before="0"/>
        <w:ind w:left="297" w:right="0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AGRIBUSINESS</w:t>
        </w:r>
      </w:hyperlink>
    </w:p>
    <w:p>
      <w:pPr>
        <w:pStyle w:val="BodyText"/>
        <w:spacing w:before="31"/>
        <w:ind w:left="0" w:firstLine="0"/>
        <w:rPr>
          <w:sz w:val="16"/>
        </w:rPr>
      </w:pPr>
    </w:p>
    <w:p>
      <w:pPr>
        <w:spacing w:before="0"/>
        <w:ind w:left="297" w:right="0" w:firstLine="0"/>
        <w:jc w:val="left"/>
        <w:rPr>
          <w:sz w:val="16"/>
        </w:rPr>
      </w:pPr>
      <w:hyperlink r:id="rId15">
        <w:r>
          <w:rPr>
            <w:sz w:val="16"/>
          </w:rPr>
          <w:t>TRUSTS</w:t>
        </w:r>
        <w:r>
          <w:rPr>
            <w:spacing w:val="3"/>
            <w:sz w:val="16"/>
          </w:rPr>
          <w:t> </w:t>
        </w:r>
        <w:r>
          <w:rPr>
            <w:sz w:val="16"/>
          </w:rPr>
          <w:t>&amp;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ESTATES</w:t>
        </w:r>
      </w:hyperlink>
    </w:p>
    <w:p>
      <w:pPr>
        <w:pStyle w:val="BodyText"/>
        <w:spacing w:before="50"/>
        <w:ind w:left="0" w:firstLine="0"/>
        <w:rPr>
          <w:sz w:val="16"/>
        </w:rPr>
      </w:pPr>
    </w:p>
    <w:p>
      <w:pPr>
        <w:spacing w:line="199" w:lineRule="auto" w:before="0"/>
        <w:ind w:left="297" w:right="276" w:firstLine="0"/>
        <w:jc w:val="left"/>
        <w:rPr>
          <w:b/>
          <w:sz w:val="16"/>
        </w:rPr>
      </w:pPr>
      <w:hyperlink r:id="rId16">
        <w:r>
          <w:rPr>
            <w:b/>
            <w:sz w:val="16"/>
          </w:rPr>
          <w:t>Richard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M.</w:t>
        </w:r>
      </w:hyperlink>
      <w:r>
        <w:rPr>
          <w:b/>
          <w:sz w:val="16"/>
        </w:rPr>
        <w:t> </w:t>
      </w:r>
      <w:hyperlink r:id="rId16">
        <w:r>
          <w:rPr>
            <w:b/>
            <w:spacing w:val="-2"/>
            <w:sz w:val="16"/>
          </w:rPr>
          <w:t>Aaron</w:t>
        </w:r>
      </w:hyperlink>
    </w:p>
    <w:p>
      <w:pPr>
        <w:spacing w:line="199" w:lineRule="auto" w:before="17"/>
        <w:ind w:left="297" w:right="192" w:firstLine="0"/>
        <w:jc w:val="left"/>
        <w:rPr>
          <w:sz w:val="12"/>
        </w:rPr>
      </w:pPr>
      <w:r>
        <w:rPr>
          <w:color w:val="6E6158"/>
          <w:sz w:val="12"/>
        </w:rPr>
        <w:t>Agribusiness</w:t>
      </w:r>
      <w:r>
        <w:rPr>
          <w:color w:val="6E6158"/>
          <w:spacing w:val="-9"/>
          <w:sz w:val="12"/>
        </w:rPr>
        <w:t> </w:t>
      </w:r>
      <w:r>
        <w:rPr>
          <w:color w:val="6E6158"/>
          <w:sz w:val="12"/>
        </w:rPr>
        <w:t>Group</w:t>
      </w:r>
      <w:r>
        <w:rPr>
          <w:color w:val="6E6158"/>
          <w:spacing w:val="40"/>
          <w:sz w:val="12"/>
        </w:rPr>
        <w:t> </w:t>
      </w:r>
      <w:r>
        <w:rPr>
          <w:color w:val="6E6158"/>
          <w:sz w:val="12"/>
        </w:rPr>
        <w:t>Vice</w:t>
      </w:r>
      <w:r>
        <w:rPr>
          <w:color w:val="6E6158"/>
          <w:spacing w:val="-7"/>
          <w:sz w:val="12"/>
        </w:rPr>
        <w:t> </w:t>
      </w:r>
      <w:r>
        <w:rPr>
          <w:color w:val="6E6158"/>
          <w:sz w:val="12"/>
        </w:rPr>
        <w:t>Chair</w:t>
      </w:r>
    </w:p>
    <w:p>
      <w:pPr>
        <w:spacing w:before="77"/>
        <w:ind w:left="297" w:right="0" w:firstLine="0"/>
        <w:jc w:val="left"/>
        <w:rPr>
          <w:b/>
          <w:sz w:val="12"/>
        </w:rPr>
      </w:pPr>
      <w:hyperlink r:id="rId17">
        <w:r>
          <w:rPr>
            <w:b/>
            <w:spacing w:val="-2"/>
            <w:sz w:val="12"/>
          </w:rPr>
          <w:t>Fresno</w:t>
        </w:r>
      </w:hyperlink>
    </w:p>
    <w:p>
      <w:pPr>
        <w:spacing w:before="15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559.432.4500</w:t>
      </w:r>
    </w:p>
    <w:p>
      <w:pPr>
        <w:spacing w:before="8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559.432.4590</w:t>
      </w:r>
    </w:p>
    <w:p>
      <w:pPr>
        <w:spacing w:line="266" w:lineRule="auto" w:before="16"/>
        <w:ind w:left="297" w:right="192" w:firstLine="0"/>
        <w:jc w:val="left"/>
        <w:rPr>
          <w:sz w:val="12"/>
        </w:rPr>
      </w:pPr>
      <w:hyperlink r:id="rId18">
        <w:r>
          <w:rPr>
            <w:color w:val="002E6B"/>
            <w:spacing w:val="-2"/>
            <w:sz w:val="12"/>
            <w:u w:val="single" w:color="002E6B"/>
          </w:rPr>
          <w:t>raaron@fennemorela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8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440" w:right="1440"/>
          <w:cols w:num="2" w:equalWidth="0">
            <w:col w:w="7489" w:space="40"/>
            <w:col w:w="1831"/>
          </w:cols>
        </w:sectPr>
      </w:pPr>
    </w:p>
    <w:p>
      <w:pPr>
        <w:pStyle w:val="BodyText"/>
        <w:spacing w:before="259"/>
        <w:ind w:left="0" w:firstLine="0"/>
        <w:rPr>
          <w:sz w:val="24"/>
        </w:rPr>
      </w:pPr>
    </w:p>
    <w:p>
      <w:pPr>
        <w:pStyle w:val="Heading2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line="297" w:lineRule="auto" w:before="146"/>
        <w:ind w:left="99" w:firstLine="0"/>
      </w:pPr>
      <w:r>
        <w:rPr>
          <w:color w:val="6E6158"/>
        </w:rPr>
        <w:t>Our Agribusiness team is one of the most robust legal groups in the West! Our attorneys have a</w:t>
      </w:r>
      <w:r>
        <w:rPr>
          <w:color w:val="6E6158"/>
          <w:spacing w:val="40"/>
        </w:rPr>
        <w:t> </w:t>
      </w:r>
      <w:r>
        <w:rPr>
          <w:color w:val="6E6158"/>
        </w:rPr>
        <w:t>tremendous track record of assisting clients in every role within the produce industry by providing</w:t>
      </w:r>
      <w:r>
        <w:rPr>
          <w:color w:val="6E6158"/>
          <w:spacing w:val="40"/>
        </w:rPr>
        <w:t> </w:t>
      </w:r>
      <w:r>
        <w:rPr>
          <w:color w:val="6E6158"/>
        </w:rPr>
        <w:t>practical</w:t>
      </w:r>
      <w:r>
        <w:rPr>
          <w:color w:val="6E6158"/>
          <w:spacing w:val="30"/>
        </w:rPr>
        <w:t> </w:t>
      </w:r>
      <w:r>
        <w:rPr>
          <w:color w:val="6E6158"/>
        </w:rPr>
        <w:t>experience,</w:t>
      </w:r>
      <w:r>
        <w:rPr>
          <w:color w:val="6E6158"/>
          <w:spacing w:val="30"/>
        </w:rPr>
        <w:t> </w:t>
      </w:r>
      <w:r>
        <w:rPr>
          <w:color w:val="6E6158"/>
        </w:rPr>
        <w:t>knowledge,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legal</w:t>
      </w:r>
      <w:r>
        <w:rPr>
          <w:color w:val="6E6158"/>
          <w:spacing w:val="30"/>
        </w:rPr>
        <w:t> </w:t>
      </w:r>
      <w:r>
        <w:rPr>
          <w:color w:val="6E6158"/>
        </w:rPr>
        <w:t>expertise</w:t>
      </w:r>
      <w:r>
        <w:rPr>
          <w:color w:val="6E6158"/>
          <w:spacing w:val="30"/>
        </w:rPr>
        <w:t> </w:t>
      </w:r>
      <w:r>
        <w:rPr>
          <w:color w:val="6E6158"/>
        </w:rPr>
        <w:t>that</w:t>
      </w:r>
      <w:r>
        <w:rPr>
          <w:color w:val="6E6158"/>
          <w:spacing w:val="30"/>
        </w:rPr>
        <w:t> </w:t>
      </w:r>
      <w:r>
        <w:rPr>
          <w:color w:val="6E6158"/>
        </w:rPr>
        <w:t>is</w:t>
      </w:r>
      <w:r>
        <w:rPr>
          <w:color w:val="6E6158"/>
          <w:spacing w:val="30"/>
        </w:rPr>
        <w:t> </w:t>
      </w:r>
      <w:r>
        <w:rPr>
          <w:color w:val="6E6158"/>
        </w:rPr>
        <w:t>unique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agribusiness.</w:t>
      </w:r>
      <w:r>
        <w:rPr>
          <w:color w:val="6E6158"/>
          <w:spacing w:val="80"/>
        </w:rPr>
        <w:t> </w:t>
      </w:r>
      <w:r>
        <w:rPr>
          <w:color w:val="6E6158"/>
        </w:rPr>
        <w:t>We</w:t>
      </w:r>
    </w:p>
    <w:p>
      <w:pPr>
        <w:pStyle w:val="BodyText"/>
        <w:spacing w:line="297" w:lineRule="auto" w:before="0"/>
        <w:ind w:left="99" w:firstLine="0"/>
      </w:pPr>
      <w:r>
        <w:rPr>
          <w:color w:val="6E6158"/>
        </w:rPr>
        <w:t>represent farmers, growers, packers, shippers, distributors, importers, exporters, processors, </w:t>
      </w:r>
      <w:r>
        <w:rPr>
          <w:color w:val="6E6158"/>
        </w:rPr>
        <w:t>dairies,</w:t>
      </w:r>
      <w:r>
        <w:rPr>
          <w:color w:val="6E6158"/>
          <w:spacing w:val="40"/>
        </w:rPr>
        <w:t> </w:t>
      </w:r>
      <w:r>
        <w:rPr>
          <w:color w:val="6E6158"/>
        </w:rPr>
        <w:t>wineries, cooperatives, investors, lenders, insurance providers and others involved in the food</w:t>
      </w:r>
      <w:r>
        <w:rPr>
          <w:color w:val="6E6158"/>
          <w:spacing w:val="40"/>
        </w:rPr>
        <w:t> </w:t>
      </w:r>
      <w:r>
        <w:rPr>
          <w:color w:val="6E6158"/>
        </w:rPr>
        <w:t>production industry with local, national, and international operations.</w:t>
      </w:r>
    </w:p>
    <w:p>
      <w:pPr>
        <w:pStyle w:val="BodyText"/>
        <w:spacing w:line="295" w:lineRule="auto" w:before="187"/>
        <w:ind w:left="99" w:right="261" w:firstLine="0"/>
      </w:pPr>
      <w:r>
        <w:rPr>
          <w:color w:val="6E6158"/>
        </w:rPr>
        <w:t>We</w:t>
      </w:r>
      <w:r>
        <w:rPr>
          <w:color w:val="6E6158"/>
          <w:spacing w:val="26"/>
        </w:rPr>
        <w:t> </w:t>
      </w:r>
      <w:r>
        <w:rPr>
          <w:color w:val="6E6158"/>
        </w:rPr>
        <w:t>have</w:t>
      </w:r>
      <w:r>
        <w:rPr>
          <w:color w:val="6E6158"/>
          <w:spacing w:val="26"/>
        </w:rPr>
        <w:t> </w:t>
      </w:r>
      <w:r>
        <w:rPr>
          <w:color w:val="6E6158"/>
        </w:rPr>
        <w:t>offices</w:t>
      </w:r>
      <w:r>
        <w:rPr>
          <w:color w:val="6E6158"/>
          <w:spacing w:val="26"/>
        </w:rPr>
        <w:t> </w:t>
      </w:r>
      <w:r>
        <w:rPr>
          <w:color w:val="6E6158"/>
        </w:rPr>
        <w:t>throughout</w:t>
      </w:r>
      <w:r>
        <w:rPr>
          <w:color w:val="6E6158"/>
          <w:spacing w:val="26"/>
        </w:rPr>
        <w:t> </w:t>
      </w:r>
      <w:r>
        <w:rPr>
          <w:color w:val="6E6158"/>
        </w:rPr>
        <w:t>California,</w:t>
      </w:r>
      <w:r>
        <w:rPr>
          <w:color w:val="6E6158"/>
          <w:spacing w:val="26"/>
        </w:rPr>
        <w:t> </w:t>
      </w:r>
      <w:r>
        <w:rPr>
          <w:color w:val="6E6158"/>
        </w:rPr>
        <w:t>including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Central</w:t>
      </w:r>
      <w:r>
        <w:rPr>
          <w:color w:val="6E6158"/>
          <w:spacing w:val="26"/>
        </w:rPr>
        <w:t> </w:t>
      </w:r>
      <w:r>
        <w:rPr>
          <w:color w:val="6E6158"/>
        </w:rPr>
        <w:t>Valley,</w:t>
      </w:r>
      <w:r>
        <w:rPr>
          <w:color w:val="6E6158"/>
          <w:spacing w:val="80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largest</w:t>
      </w:r>
      <w:r>
        <w:rPr>
          <w:color w:val="6E6158"/>
          <w:spacing w:val="26"/>
        </w:rPr>
        <w:t> </w:t>
      </w:r>
      <w:r>
        <w:rPr>
          <w:color w:val="6E6158"/>
        </w:rPr>
        <w:t>food producing region in the United States, and in Nogales, Arizona and McAllen, Texas, primary ports</w:t>
      </w:r>
      <w:r>
        <w:rPr>
          <w:color w:val="6E6158"/>
          <w:spacing w:val="40"/>
        </w:rPr>
        <w:t> </w:t>
      </w:r>
      <w:r>
        <w:rPr>
          <w:color w:val="6E6158"/>
        </w:rPr>
        <w:t>for import and export</w:t>
      </w:r>
      <w:r>
        <w:rPr>
          <w:color w:val="6E6158"/>
          <w:spacing w:val="78"/>
        </w:rPr>
        <w:t> </w:t>
      </w:r>
      <w:r>
        <w:rPr>
          <w:color w:val="6E6158"/>
        </w:rPr>
        <w:t>of fresh fruits and vegetables between the United States and Mexico.</w:t>
      </w:r>
      <w:r>
        <w:rPr>
          <w:color w:val="6E6158"/>
          <w:spacing w:val="78"/>
        </w:rPr>
        <w:t> </w:t>
      </w:r>
      <w:r>
        <w:rPr>
          <w:color w:val="6E6158"/>
        </w:rPr>
        <w:t>We have decades of experience in all aspects of agribusiness and agricultural law. Fennemore’s</w:t>
      </w:r>
      <w:r>
        <w:rPr>
          <w:color w:val="6E6158"/>
          <w:spacing w:val="40"/>
        </w:rPr>
        <w:t> </w:t>
      </w:r>
      <w:r>
        <w:rPr>
          <w:color w:val="6E6158"/>
        </w:rPr>
        <w:t>agribusiness</w:t>
      </w:r>
      <w:r>
        <w:rPr>
          <w:color w:val="6E6158"/>
          <w:spacing w:val="35"/>
        </w:rPr>
        <w:t> </w:t>
      </w:r>
      <w:r>
        <w:rPr>
          <w:color w:val="6E6158"/>
        </w:rPr>
        <w:t>attorneys</w:t>
      </w:r>
      <w:r>
        <w:rPr>
          <w:color w:val="6E6158"/>
          <w:spacing w:val="35"/>
        </w:rPr>
        <w:t> </w:t>
      </w:r>
      <w:r>
        <w:rPr>
          <w:color w:val="6E6158"/>
        </w:rPr>
        <w:t>are</w:t>
      </w:r>
      <w:r>
        <w:rPr>
          <w:color w:val="6E6158"/>
          <w:spacing w:val="35"/>
        </w:rPr>
        <w:t> </w:t>
      </w:r>
      <w:r>
        <w:rPr>
          <w:color w:val="6E6158"/>
        </w:rPr>
        <w:t>uniquely</w:t>
      </w:r>
      <w:r>
        <w:rPr>
          <w:color w:val="6E6158"/>
          <w:spacing w:val="35"/>
        </w:rPr>
        <w:t> </w:t>
      </w:r>
      <w:r>
        <w:rPr>
          <w:color w:val="6E6158"/>
        </w:rPr>
        <w:t>positioned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assist</w:t>
      </w:r>
      <w:r>
        <w:rPr>
          <w:color w:val="6E6158"/>
          <w:spacing w:val="35"/>
        </w:rPr>
        <w:t> </w:t>
      </w:r>
      <w:r>
        <w:rPr>
          <w:color w:val="6E6158"/>
        </w:rPr>
        <w:t>clients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agricultural</w:t>
      </w:r>
      <w:r>
        <w:rPr>
          <w:color w:val="6E6158"/>
          <w:spacing w:val="35"/>
        </w:rPr>
        <w:t> </w:t>
      </w:r>
      <w:r>
        <w:rPr>
          <w:color w:val="6E6158"/>
        </w:rPr>
        <w:t>community.</w:t>
      </w:r>
    </w:p>
    <w:p>
      <w:pPr>
        <w:pStyle w:val="Heading4"/>
      </w:pPr>
      <w:hyperlink r:id="rId19">
        <w:r>
          <w:rPr>
            <w:color w:val="FF8100"/>
          </w:rPr>
          <w:t>BUSINESS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AND</w:t>
        </w:r>
        <w:r>
          <w:rPr>
            <w:color w:val="FF8100"/>
            <w:spacing w:val="13"/>
          </w:rPr>
          <w:t> </w:t>
        </w:r>
        <w:r>
          <w:rPr>
            <w:color w:val="FF8100"/>
            <w:spacing w:val="-2"/>
          </w:rPr>
          <w:t>FINANCE</w:t>
        </w:r>
      </w:hyperlink>
    </w:p>
    <w:p>
      <w:pPr>
        <w:pStyle w:val="Heading4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83"/>
        <w:ind w:left="99" w:right="300" w:firstLine="0"/>
      </w:pPr>
      <w:r>
        <w:rPr>
          <w:color w:val="6E6158"/>
        </w:rPr>
        <w:t>Our agribusiness attorneys have a diverse range of expertise in representing local, national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international clients participating in significant business transactions, including negotiating and</w:t>
      </w:r>
      <w:r>
        <w:rPr>
          <w:color w:val="6E6158"/>
          <w:spacing w:val="40"/>
        </w:rPr>
        <w:t> </w:t>
      </w:r>
      <w:r>
        <w:rPr>
          <w:color w:val="6E6158"/>
        </w:rPr>
        <w:t>drafting distributor and grower, consignment, sales, import, export and related agreements, representing clients with regard to agribusiness financing arrangements, including cross-border</w:t>
      </w:r>
      <w:r>
        <w:rPr>
          <w:color w:val="6E6158"/>
          <w:spacing w:val="40"/>
        </w:rPr>
        <w:t> </w:t>
      </w:r>
      <w:r>
        <w:rPr>
          <w:color w:val="6E6158"/>
        </w:rPr>
        <w:t>financing. Our attorneys are able to assist in every aspect of a business, from entity formations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maintenance,</w:t>
      </w:r>
      <w:r>
        <w:rPr>
          <w:color w:val="6E6158"/>
          <w:spacing w:val="38"/>
        </w:rPr>
        <w:t> </w:t>
      </w:r>
      <w:r>
        <w:rPr>
          <w:color w:val="6E6158"/>
        </w:rPr>
        <w:t>to</w:t>
      </w:r>
      <w:r>
        <w:rPr>
          <w:color w:val="6E6158"/>
          <w:spacing w:val="38"/>
        </w:rPr>
        <w:t> </w:t>
      </w:r>
      <w:r>
        <w:rPr>
          <w:color w:val="6E6158"/>
        </w:rPr>
        <w:t>business</w:t>
      </w:r>
      <w:r>
        <w:rPr>
          <w:color w:val="6E6158"/>
          <w:spacing w:val="38"/>
        </w:rPr>
        <w:t> </w:t>
      </w:r>
      <w:r>
        <w:rPr>
          <w:color w:val="6E6158"/>
        </w:rPr>
        <w:t>structures</w:t>
      </w:r>
      <w:r>
        <w:rPr>
          <w:color w:val="6E6158"/>
          <w:spacing w:val="38"/>
        </w:rPr>
        <w:t> </w:t>
      </w:r>
      <w:r>
        <w:rPr>
          <w:color w:val="6E6158"/>
        </w:rPr>
        <w:t>including</w:t>
      </w:r>
      <w:r>
        <w:rPr>
          <w:color w:val="6E6158"/>
          <w:spacing w:val="38"/>
        </w:rPr>
        <w:t> </w:t>
      </w:r>
      <w:r>
        <w:rPr>
          <w:color w:val="6E6158"/>
        </w:rPr>
        <w:t>international</w:t>
      </w:r>
      <w:r>
        <w:rPr>
          <w:color w:val="6E6158"/>
          <w:spacing w:val="38"/>
        </w:rPr>
        <w:t> </w:t>
      </w:r>
      <w:r>
        <w:rPr>
          <w:color w:val="6E6158"/>
        </w:rPr>
        <w:t>structures,</w:t>
      </w:r>
      <w:r>
        <w:rPr>
          <w:color w:val="6E6158"/>
          <w:spacing w:val="38"/>
        </w:rPr>
        <w:t> </w:t>
      </w:r>
      <w:r>
        <w:rPr>
          <w:color w:val="6E6158"/>
        </w:rPr>
        <w:t>to</w:t>
      </w:r>
      <w:r>
        <w:rPr>
          <w:color w:val="6E6158"/>
          <w:spacing w:val="38"/>
        </w:rPr>
        <w:t> </w:t>
      </w:r>
      <w:r>
        <w:rPr>
          <w:color w:val="6E6158"/>
        </w:rPr>
        <w:t>mergers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</w:p>
    <w:p>
      <w:pPr>
        <w:pStyle w:val="BodyText"/>
        <w:spacing w:before="6"/>
        <w:ind w:left="99" w:right="6995" w:firstLine="0"/>
      </w:pPr>
      <w:r>
        <w:rPr>
          <w:color w:val="6E6158"/>
          <w:spacing w:val="-2"/>
        </w:rPr>
        <w:t>acquisitions.</w:t>
      </w:r>
    </w:p>
    <w:p>
      <w:pPr>
        <w:pStyle w:val="BodyText"/>
        <w:spacing w:before="14"/>
        <w:ind w:left="0" w:firstLine="0"/>
      </w:pPr>
    </w:p>
    <w:p>
      <w:pPr>
        <w:pStyle w:val="Heading4"/>
        <w:spacing w:before="0"/>
        <w:ind w:right="6995"/>
      </w:pPr>
      <w:hyperlink r:id="rId20">
        <w:r>
          <w:rPr>
            <w:color w:val="FF8100"/>
          </w:rPr>
          <w:t>INTELLECTUAL</w:t>
        </w:r>
        <w:r>
          <w:rPr>
            <w:color w:val="FF8100"/>
            <w:spacing w:val="25"/>
          </w:rPr>
          <w:t> </w:t>
        </w:r>
        <w:r>
          <w:rPr>
            <w:color w:val="FF8100"/>
            <w:spacing w:val="-2"/>
          </w:rPr>
          <w:t>PROPERTY</w:t>
        </w:r>
      </w:hyperlink>
    </w:p>
    <w:p>
      <w:pPr>
        <w:pStyle w:val="BodyText"/>
        <w:spacing w:before="14"/>
        <w:ind w:left="0" w:firstLine="0"/>
      </w:pPr>
    </w:p>
    <w:p>
      <w:pPr>
        <w:pStyle w:val="BodyText"/>
        <w:spacing w:line="292" w:lineRule="auto" w:before="1"/>
        <w:ind w:left="99" w:right="300" w:firstLine="0"/>
      </w:pPr>
      <w:r>
        <w:rPr>
          <w:color w:val="6E6158"/>
        </w:rPr>
        <w:t>Our intellectual property attorneys have decades of experience in assisting </w:t>
      </w:r>
      <w:r>
        <w:rPr>
          <w:color w:val="6E6158"/>
        </w:rPr>
        <w:t>agribusiness companies</w:t>
      </w:r>
      <w:r>
        <w:rPr>
          <w:color w:val="6E6158"/>
          <w:spacing w:val="16"/>
        </w:rPr>
        <w:t> </w:t>
      </w:r>
      <w:r>
        <w:rPr>
          <w:color w:val="6E6158"/>
        </w:rPr>
        <w:t>protect</w:t>
      </w:r>
      <w:r>
        <w:rPr>
          <w:color w:val="6E6158"/>
          <w:spacing w:val="16"/>
        </w:rPr>
        <w:t> </w:t>
      </w:r>
      <w:r>
        <w:rPr>
          <w:color w:val="6E6158"/>
        </w:rPr>
        <w:t>their</w:t>
      </w:r>
      <w:r>
        <w:rPr>
          <w:color w:val="6E6158"/>
          <w:spacing w:val="16"/>
        </w:rPr>
        <w:t> </w:t>
      </w:r>
      <w:r>
        <w:rPr>
          <w:color w:val="6E6158"/>
        </w:rPr>
        <w:t>valuable</w:t>
      </w:r>
      <w:r>
        <w:rPr>
          <w:color w:val="6E6158"/>
          <w:spacing w:val="16"/>
        </w:rPr>
        <w:t> </w:t>
      </w:r>
      <w:r>
        <w:rPr>
          <w:color w:val="6E6158"/>
        </w:rPr>
        <w:t>intellectual</w:t>
      </w:r>
      <w:r>
        <w:rPr>
          <w:color w:val="6E6158"/>
          <w:spacing w:val="16"/>
        </w:rPr>
        <w:t> </w:t>
      </w:r>
      <w:r>
        <w:rPr>
          <w:color w:val="6E6158"/>
        </w:rPr>
        <w:t>property,</w:t>
      </w:r>
      <w:r>
        <w:rPr>
          <w:color w:val="6E6158"/>
          <w:spacing w:val="16"/>
        </w:rPr>
        <w:t> </w:t>
      </w:r>
      <w:r>
        <w:rPr>
          <w:color w:val="6E6158"/>
        </w:rPr>
        <w:t>including</w:t>
      </w:r>
      <w:r>
        <w:rPr>
          <w:color w:val="6E6158"/>
          <w:spacing w:val="16"/>
        </w:rPr>
        <w:t> </w:t>
      </w:r>
      <w:r>
        <w:rPr>
          <w:color w:val="6E6158"/>
        </w:rPr>
        <w:t>patents,</w:t>
      </w:r>
      <w:r>
        <w:rPr>
          <w:color w:val="6E6158"/>
          <w:spacing w:val="16"/>
        </w:rPr>
        <w:t> </w:t>
      </w:r>
      <w:r>
        <w:rPr>
          <w:color w:val="6E6158"/>
        </w:rPr>
        <w:t>trade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secrets,</w:t>
      </w:r>
    </w:p>
    <w:p>
      <w:pPr>
        <w:pStyle w:val="BodyText"/>
        <w:spacing w:line="292" w:lineRule="auto" w:before="9"/>
        <w:ind w:left="99" w:firstLine="0"/>
      </w:pPr>
      <w:r>
        <w:rPr>
          <w:color w:val="6E6158"/>
        </w:rPr>
        <w:t>trademarks, copyrights, and other labeling and marketing issues. We assist clients with licensing in</w:t>
      </w:r>
      <w:r>
        <w:rPr>
          <w:color w:val="6E6158"/>
          <w:spacing w:val="40"/>
        </w:rPr>
        <w:t> </w:t>
      </w:r>
      <w:r>
        <w:rPr>
          <w:color w:val="6E6158"/>
        </w:rPr>
        <w:t>order to help protect them and to leverage and protect their valuable intellectual property. Our</w:t>
      </w:r>
      <w:r>
        <w:rPr>
          <w:color w:val="6E6158"/>
          <w:spacing w:val="40"/>
        </w:rPr>
        <w:t> </w:t>
      </w:r>
      <w:r>
        <w:rPr>
          <w:color w:val="6E6158"/>
        </w:rPr>
        <w:t>intellectual</w:t>
      </w:r>
      <w:r>
        <w:rPr>
          <w:color w:val="6E6158"/>
          <w:spacing w:val="40"/>
        </w:rPr>
        <w:t> </w:t>
      </w:r>
      <w:r>
        <w:rPr>
          <w:color w:val="6E6158"/>
        </w:rPr>
        <w:t>property</w:t>
      </w:r>
      <w:r>
        <w:rPr>
          <w:color w:val="6E6158"/>
          <w:spacing w:val="40"/>
        </w:rPr>
        <w:t> </w:t>
      </w:r>
      <w:r>
        <w:rPr>
          <w:color w:val="6E6158"/>
        </w:rPr>
        <w:t>attorneys</w:t>
      </w:r>
      <w:r>
        <w:rPr>
          <w:color w:val="6E6158"/>
          <w:spacing w:val="40"/>
        </w:rPr>
        <w:t> </w:t>
      </w:r>
      <w:r>
        <w:rPr>
          <w:color w:val="6E6158"/>
        </w:rPr>
        <w:t>have</w:t>
      </w:r>
      <w:r>
        <w:rPr>
          <w:color w:val="6E6158"/>
          <w:spacing w:val="40"/>
        </w:rPr>
        <w:t> </w:t>
      </w:r>
      <w:r>
        <w:rPr>
          <w:color w:val="6E6158"/>
        </w:rPr>
        <w:t>considerable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enforcing</w:t>
      </w:r>
      <w:r>
        <w:rPr>
          <w:color w:val="6E6158"/>
          <w:spacing w:val="40"/>
        </w:rPr>
        <w:t> </w:t>
      </w:r>
      <w:r>
        <w:rPr>
          <w:color w:val="6E6158"/>
        </w:rPr>
        <w:t>intellectual</w:t>
      </w:r>
      <w:r>
        <w:rPr>
          <w:color w:val="6E6158"/>
          <w:spacing w:val="40"/>
        </w:rPr>
        <w:t> </w:t>
      </w:r>
      <w:r>
        <w:rPr>
          <w:color w:val="6E6158"/>
        </w:rPr>
        <w:t>property rights and in resolving intellectual property disputes.</w:t>
      </w:r>
    </w:p>
    <w:p>
      <w:pPr>
        <w:pStyle w:val="Heading4"/>
        <w:spacing w:before="206"/>
      </w:pPr>
      <w:hyperlink r:id="rId21">
        <w:r>
          <w:rPr>
            <w:color w:val="FF8100"/>
            <w:spacing w:val="-2"/>
          </w:rPr>
          <w:t>ESTATE</w:t>
        </w:r>
        <w:r>
          <w:rPr>
            <w:color w:val="FF8100"/>
            <w:spacing w:val="-7"/>
          </w:rPr>
          <w:t> </w:t>
        </w:r>
        <w:r>
          <w:rPr>
            <w:color w:val="FF8100"/>
            <w:spacing w:val="-2"/>
          </w:rPr>
          <w:t>PLANNING</w:t>
        </w:r>
      </w:hyperlink>
    </w:p>
    <w:p>
      <w:pPr>
        <w:pStyle w:val="BodyText"/>
        <w:spacing w:before="14"/>
        <w:ind w:left="0" w:firstLine="0"/>
      </w:pPr>
    </w:p>
    <w:p>
      <w:pPr>
        <w:pStyle w:val="BodyText"/>
        <w:spacing w:line="295" w:lineRule="auto" w:before="0"/>
        <w:ind w:left="99" w:right="300" w:firstLine="0"/>
      </w:pPr>
      <w:r>
        <w:rPr>
          <w:color w:val="6E6158"/>
        </w:rPr>
        <w:t>We know that for many in the agricultural community, farming is a family affair with businesses</w:t>
      </w:r>
      <w:r>
        <w:rPr>
          <w:color w:val="6E6158"/>
          <w:spacing w:val="40"/>
        </w:rPr>
        <w:t> </w:t>
      </w:r>
      <w:r>
        <w:rPr>
          <w:color w:val="6E6158"/>
        </w:rPr>
        <w:t>being passed down from generation to generation. With estate and business planning</w:t>
      </w:r>
      <w:r>
        <w:rPr>
          <w:color w:val="6E6158"/>
          <w:spacing w:val="40"/>
        </w:rPr>
        <w:t> </w:t>
      </w:r>
      <w:r>
        <w:rPr>
          <w:color w:val="6E6158"/>
        </w:rPr>
        <w:t>departments experienced in the unique aspects of business and succession strategies within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agricultural industry, we are able to help clients plan, integrate, and execute strategies to help</w:t>
      </w:r>
      <w:r>
        <w:rPr>
          <w:color w:val="6E6158"/>
          <w:spacing w:val="40"/>
        </w:rPr>
        <w:t> </w:t>
      </w:r>
      <w:r>
        <w:rPr>
          <w:color w:val="6E6158"/>
        </w:rPr>
        <w:t>meet their goals.</w:t>
      </w:r>
    </w:p>
    <w:p>
      <w:pPr>
        <w:pStyle w:val="Heading4"/>
      </w:pPr>
      <w:hyperlink r:id="rId22">
        <w:r>
          <w:rPr>
            <w:color w:val="FF8100"/>
          </w:rPr>
          <w:t>EMPLOYMENT</w:t>
        </w:r>
        <w:r>
          <w:rPr>
            <w:color w:val="FF8100"/>
            <w:spacing w:val="17"/>
          </w:rPr>
          <w:t> </w:t>
        </w:r>
        <w:r>
          <w:rPr>
            <w:color w:val="FF8100"/>
          </w:rPr>
          <w:t>AND</w:t>
        </w:r>
        <w:r>
          <w:rPr>
            <w:color w:val="FF8100"/>
            <w:spacing w:val="18"/>
          </w:rPr>
          <w:t> </w:t>
        </w:r>
        <w:r>
          <w:rPr>
            <w:color w:val="FF8100"/>
            <w:spacing w:val="-2"/>
          </w:rPr>
          <w:t>LABOR</w:t>
        </w:r>
      </w:hyperlink>
    </w:p>
    <w:p>
      <w:pPr>
        <w:pStyle w:val="BodyText"/>
        <w:spacing w:before="22"/>
        <w:ind w:left="0" w:firstLine="0"/>
      </w:pPr>
    </w:p>
    <w:p>
      <w:pPr>
        <w:pStyle w:val="BodyText"/>
        <w:spacing w:line="295" w:lineRule="auto" w:before="0"/>
        <w:ind w:left="99" w:right="300" w:firstLine="0"/>
      </w:pPr>
      <w:r>
        <w:rPr>
          <w:color w:val="6E6158"/>
        </w:rPr>
        <w:t>We have a</w:t>
      </w:r>
      <w:r>
        <w:rPr>
          <w:color w:val="6E6158"/>
          <w:spacing w:val="80"/>
        </w:rPr>
        <w:t> </w:t>
      </w:r>
      <w:r>
        <w:rPr>
          <w:color w:val="6E6158"/>
        </w:rPr>
        <w:t>large employment law practice group with attorneys that are experienced not only</w:t>
      </w:r>
      <w:r>
        <w:rPr>
          <w:color w:val="6E6158"/>
          <w:spacing w:val="80"/>
        </w:rPr>
        <w:t> </w:t>
      </w:r>
      <w:r>
        <w:rPr>
          <w:color w:val="6E6158"/>
        </w:rPr>
        <w:t>in areas of employment law that are common to all businesses in the Mountain West, but also in</w:t>
      </w:r>
      <w:r>
        <w:rPr>
          <w:color w:val="6E6158"/>
          <w:spacing w:val="40"/>
        </w:rPr>
        <w:t> </w:t>
      </w:r>
      <w:r>
        <w:rPr>
          <w:color w:val="6E6158"/>
        </w:rPr>
        <w:t>areas that are unique to businesses in the agricultural industry. Our employment and labor</w:t>
      </w:r>
      <w:r>
        <w:rPr>
          <w:color w:val="6E6158"/>
          <w:spacing w:val="40"/>
        </w:rPr>
        <w:t> </w:t>
      </w:r>
      <w:r>
        <w:rPr>
          <w:color w:val="6E6158"/>
        </w:rPr>
        <w:t>attorneys provide valuable assistance in all aspects of the employment relationship, including</w:t>
      </w:r>
      <w:r>
        <w:rPr>
          <w:color w:val="6E6158"/>
          <w:spacing w:val="40"/>
        </w:rPr>
        <w:t>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benefits,</w:t>
      </w:r>
      <w:r>
        <w:rPr>
          <w:color w:val="6E6158"/>
          <w:spacing w:val="40"/>
        </w:rPr>
        <w:t>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health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safety,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</w:rPr>
        <w:t>litigation,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</w:p>
    <w:p>
      <w:pPr>
        <w:pStyle w:val="BodyText"/>
        <w:spacing w:line="292" w:lineRule="auto" w:before="0"/>
        <w:ind w:left="99" w:right="300" w:firstLine="0"/>
      </w:pPr>
      <w:r>
        <w:rPr>
          <w:color w:val="6E6158"/>
        </w:rPr>
        <w:t>relationships, labor management, unemployment compensation, and workers’ </w:t>
      </w:r>
      <w:r>
        <w:rPr>
          <w:color w:val="6E6158"/>
        </w:rPr>
        <w:t>compensation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law.</w:t>
      </w:r>
    </w:p>
    <w:p>
      <w:pPr>
        <w:pStyle w:val="Heading4"/>
        <w:spacing w:before="196"/>
      </w:pPr>
      <w:hyperlink r:id="rId23">
        <w:r>
          <w:rPr>
            <w:color w:val="FF8100"/>
          </w:rPr>
          <w:t>REAL</w:t>
        </w:r>
        <w:r>
          <w:rPr>
            <w:color w:val="FF8100"/>
            <w:spacing w:val="9"/>
          </w:rPr>
          <w:t> </w:t>
        </w:r>
        <w:r>
          <w:rPr>
            <w:color w:val="FF8100"/>
            <w:spacing w:val="-2"/>
          </w:rPr>
          <w:t>ESTATE</w:t>
        </w:r>
      </w:hyperlink>
    </w:p>
    <w:p>
      <w:pPr>
        <w:pStyle w:val="BodyText"/>
        <w:spacing w:before="22"/>
        <w:ind w:left="0" w:firstLine="0"/>
      </w:pPr>
    </w:p>
    <w:p>
      <w:pPr>
        <w:pStyle w:val="BodyText"/>
        <w:spacing w:line="292" w:lineRule="auto" w:before="1"/>
        <w:ind w:left="99" w:firstLine="0"/>
      </w:pPr>
      <w:r>
        <w:rPr>
          <w:color w:val="6E6158"/>
        </w:rPr>
        <w:t>Our experienced real estate attorneys represent agribusinesses in all aspects of commercial and</w:t>
      </w:r>
      <w:r>
        <w:rPr>
          <w:color w:val="6E6158"/>
          <w:spacing w:val="40"/>
        </w:rPr>
        <w:t> </w:t>
      </w:r>
      <w:r>
        <w:rPr>
          <w:color w:val="6E6158"/>
        </w:rPr>
        <w:t>agricultural</w:t>
      </w:r>
      <w:r>
        <w:rPr>
          <w:color w:val="6E6158"/>
          <w:spacing w:val="40"/>
        </w:rPr>
        <w:t> </w:t>
      </w:r>
      <w:r>
        <w:rPr>
          <w:color w:val="6E6158"/>
        </w:rPr>
        <w:t>real</w:t>
      </w:r>
      <w:r>
        <w:rPr>
          <w:color w:val="6E6158"/>
          <w:spacing w:val="40"/>
        </w:rPr>
        <w:t> </w:t>
      </w:r>
      <w:r>
        <w:rPr>
          <w:color w:val="6E6158"/>
        </w:rPr>
        <w:t>property</w:t>
      </w:r>
      <w:r>
        <w:rPr>
          <w:color w:val="6E6158"/>
          <w:spacing w:val="40"/>
        </w:rPr>
        <w:t>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financing,</w:t>
      </w:r>
      <w:r>
        <w:rPr>
          <w:color w:val="6E6158"/>
          <w:spacing w:val="40"/>
        </w:rPr>
        <w:t> </w:t>
      </w:r>
      <w:r>
        <w:rPr>
          <w:color w:val="6E6158"/>
        </w:rPr>
        <w:t>leasing,</w:t>
      </w:r>
      <w:r>
        <w:rPr>
          <w:color w:val="6E6158"/>
          <w:spacing w:val="40"/>
        </w:rPr>
        <w:t> </w:t>
      </w:r>
      <w:r>
        <w:rPr>
          <w:color w:val="6E6158"/>
        </w:rPr>
        <w:t>acquisition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disposition,</w:t>
      </w:r>
    </w:p>
    <w:p>
      <w:pPr>
        <w:pStyle w:val="BodyText"/>
        <w:spacing w:line="302" w:lineRule="auto" w:before="1"/>
        <w:ind w:left="99" w:right="261" w:firstLine="0"/>
      </w:pPr>
      <w:r>
        <w:rPr>
          <w:color w:val="6E6158"/>
        </w:rPr>
        <w:t>eminent domain, commercial real estate brokerage agreements, construction and </w:t>
      </w:r>
      <w:r>
        <w:rPr>
          <w:color w:val="6E6158"/>
        </w:rPr>
        <w:t>architectural</w:t>
      </w:r>
      <w:r>
        <w:rPr>
          <w:color w:val="6E6158"/>
          <w:spacing w:val="40"/>
        </w:rPr>
        <w:t> </w:t>
      </w:r>
      <w:r>
        <w:rPr>
          <w:color w:val="6E6158"/>
        </w:rPr>
        <w:t>agreements, and related areas.</w:t>
      </w:r>
    </w:p>
    <w:p>
      <w:pPr>
        <w:pStyle w:val="Heading4"/>
        <w:spacing w:before="186"/>
      </w:pPr>
      <w:hyperlink r:id="rId24">
        <w:r>
          <w:rPr>
            <w:color w:val="FF8100"/>
          </w:rPr>
          <w:t>TAX</w:t>
        </w:r>
        <w:r>
          <w:rPr>
            <w:color w:val="FF8100"/>
            <w:spacing w:val="-9"/>
          </w:rPr>
          <w:t> </w:t>
        </w:r>
        <w:r>
          <w:rPr>
            <w:color w:val="FF8100"/>
            <w:spacing w:val="-5"/>
          </w:rPr>
          <w:t>LAW</w:t>
        </w:r>
      </w:hyperlink>
    </w:p>
    <w:p>
      <w:pPr>
        <w:pStyle w:val="BodyText"/>
        <w:spacing w:before="14"/>
        <w:ind w:left="0" w:firstLine="0"/>
      </w:pPr>
    </w:p>
    <w:p>
      <w:pPr>
        <w:pStyle w:val="BodyText"/>
        <w:spacing w:line="295" w:lineRule="auto" w:before="0"/>
        <w:ind w:left="99" w:right="261" w:firstLine="0"/>
      </w:pPr>
      <w:r>
        <w:rPr>
          <w:color w:val="6E6158"/>
        </w:rPr>
        <w:t>We understand our clients’ business and blend practical advice with legal and tax analysis in</w:t>
      </w:r>
      <w:r>
        <w:rPr>
          <w:color w:val="6E6158"/>
          <w:spacing w:val="40"/>
        </w:rPr>
        <w:t> </w:t>
      </w:r>
      <w:r>
        <w:rPr>
          <w:color w:val="6E6158"/>
        </w:rPr>
        <w:t>order to give clients efficient solutions to meet their objectives. Our agricultural attorneys have</w:t>
      </w:r>
      <w:r>
        <w:rPr>
          <w:color w:val="6E6158"/>
          <w:spacing w:val="40"/>
        </w:rPr>
        <w:t> </w:t>
      </w:r>
      <w:r>
        <w:rPr>
          <w:color w:val="6E6158"/>
        </w:rPr>
        <w:t>experience in dealing with the tax issues that members of the agricultural community face,</w:t>
      </w:r>
      <w:r>
        <w:rPr>
          <w:color w:val="6E6158"/>
          <w:spacing w:val="40"/>
        </w:rPr>
        <w:t> </w:t>
      </w:r>
      <w:r>
        <w:rPr>
          <w:color w:val="6E6158"/>
        </w:rPr>
        <w:t>including international tax issues arising out of cross-border agricultural transactions. Our</w:t>
      </w:r>
      <w:r>
        <w:rPr>
          <w:color w:val="6E6158"/>
          <w:spacing w:val="40"/>
        </w:rPr>
        <w:t> </w:t>
      </w:r>
      <w:r>
        <w:rPr>
          <w:color w:val="6E6158"/>
        </w:rPr>
        <w:t>experienced tax attorneys can help navigate agreements and disputes with state and local</w:t>
      </w:r>
      <w:r>
        <w:rPr>
          <w:color w:val="6E6158"/>
          <w:spacing w:val="40"/>
        </w:rPr>
        <w:t> </w:t>
      </w:r>
      <w:r>
        <w:rPr>
          <w:color w:val="6E6158"/>
        </w:rPr>
        <w:t>taxing authorities and the Internal Revenue Service, including obtaining advance pricing</w:t>
      </w:r>
      <w:r>
        <w:rPr>
          <w:color w:val="6E6158"/>
          <w:spacing w:val="40"/>
        </w:rPr>
        <w:t> </w:t>
      </w:r>
      <w:r>
        <w:rPr>
          <w:color w:val="6E6158"/>
        </w:rPr>
        <w:t>agreements for cross-border transactions.</w:t>
      </w:r>
    </w:p>
    <w:p>
      <w:pPr>
        <w:pStyle w:val="Heading4"/>
        <w:spacing w:before="200"/>
      </w:pPr>
      <w:hyperlink r:id="rId25">
        <w:r>
          <w:rPr>
            <w:color w:val="FF8100"/>
            <w:spacing w:val="-2"/>
          </w:rPr>
          <w:t>WATER</w:t>
        </w:r>
        <w:r>
          <w:rPr>
            <w:color w:val="FF8100"/>
            <w:spacing w:val="-8"/>
          </w:rPr>
          <w:t> </w:t>
        </w:r>
        <w:r>
          <w:rPr>
            <w:color w:val="FF8100"/>
            <w:spacing w:val="-5"/>
          </w:rPr>
          <w:t>LAW</w:t>
        </w:r>
      </w:hyperlink>
    </w:p>
    <w:p>
      <w:pPr>
        <w:pStyle w:val="Heading4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5" w:lineRule="auto" w:before="83"/>
        <w:ind w:left="99" w:right="300" w:firstLine="0"/>
      </w:pPr>
      <w:r>
        <w:rPr>
          <w:color w:val="6E6158"/>
        </w:rPr>
        <w:t>With a wealth of experience in Western water rights, including fluency with water laws and</w:t>
      </w:r>
      <w:r>
        <w:rPr>
          <w:color w:val="6E6158"/>
          <w:spacing w:val="40"/>
        </w:rPr>
        <w:t> </w:t>
      </w:r>
      <w:r>
        <w:rPr>
          <w:color w:val="6E6158"/>
        </w:rPr>
        <w:t>regulations in Arizona, California, Colorado, Nevada, and Mexico, we help clients obtain and</w:t>
      </w:r>
      <w:r>
        <w:rPr>
          <w:color w:val="6E6158"/>
          <w:spacing w:val="40"/>
        </w:rPr>
        <w:t> </w:t>
      </w:r>
      <w:r>
        <w:rPr>
          <w:color w:val="6E6158"/>
        </w:rPr>
        <w:t>protect the water supplies they need for their agribusinesses to succeed. We work with counsel in</w:t>
      </w:r>
      <w:r>
        <w:rPr>
          <w:color w:val="6E6158"/>
          <w:spacing w:val="40"/>
        </w:rPr>
        <w:t> </w:t>
      </w:r>
      <w:r>
        <w:rPr>
          <w:color w:val="6E6158"/>
        </w:rPr>
        <w:t>foreign countries, including Mexico and Canada, as necessary, to assist our clients in </w:t>
      </w:r>
      <w:r>
        <w:rPr>
          <w:color w:val="6E6158"/>
        </w:rPr>
        <w:t>agribusiness</w:t>
      </w:r>
      <w:r>
        <w:rPr>
          <w:color w:val="6E6158"/>
          <w:spacing w:val="40"/>
        </w:rPr>
        <w:t> </w:t>
      </w:r>
      <w:r>
        <w:rPr>
          <w:color w:val="6E6158"/>
        </w:rPr>
        <w:t>with international implications.</w:t>
      </w:r>
    </w:p>
    <w:p>
      <w:pPr>
        <w:pStyle w:val="Heading4"/>
      </w:pPr>
      <w:hyperlink r:id="rId26">
        <w:r>
          <w:rPr>
            <w:color w:val="FF8100"/>
            <w:spacing w:val="-2"/>
          </w:rPr>
          <w:t>LITIGATION</w:t>
        </w:r>
      </w:hyperlink>
    </w:p>
    <w:p>
      <w:pPr>
        <w:pStyle w:val="BodyText"/>
        <w:spacing w:before="22"/>
        <w:ind w:left="0" w:firstLine="0"/>
      </w:pPr>
    </w:p>
    <w:p>
      <w:pPr>
        <w:pStyle w:val="BodyText"/>
        <w:spacing w:line="292" w:lineRule="auto" w:before="0"/>
        <w:ind w:left="99" w:right="300" w:firstLine="0"/>
      </w:pPr>
      <w:r>
        <w:rPr>
          <w:color w:val="6E6158"/>
        </w:rPr>
        <w:t>The firm’s agricultural litigation team has extensive trial experience representing clients in </w:t>
      </w:r>
      <w:r>
        <w:rPr>
          <w:color w:val="6E6158"/>
        </w:rPr>
        <w:t>both</w:t>
      </w:r>
      <w:r>
        <w:rPr>
          <w:color w:val="6E6158"/>
          <w:spacing w:val="40"/>
        </w:rPr>
        <w:t> </w:t>
      </w:r>
      <w:r>
        <w:rPr>
          <w:color w:val="6E6158"/>
        </w:rPr>
        <w:t>state and federal courts as well as in front of administrative agencies such as</w:t>
      </w:r>
    </w:p>
    <w:p>
      <w:pPr>
        <w:pStyle w:val="BodyText"/>
        <w:spacing w:line="295" w:lineRule="auto" w:before="2"/>
        <w:ind w:left="99" w:right="300"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2885215</wp:posOffset>
                </wp:positionH>
                <wp:positionV relativeFrom="paragraph">
                  <wp:posOffset>132955</wp:posOffset>
                </wp:positionV>
                <wp:extent cx="34925" cy="1079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49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10795">
                              <a:moveTo>
                                <a:pt x="34394" y="10334"/>
                              </a:moveTo>
                              <a:lnTo>
                                <a:pt x="0" y="10334"/>
                              </a:lnTo>
                              <a:lnTo>
                                <a:pt x="0" y="0"/>
                              </a:lnTo>
                              <a:lnTo>
                                <a:pt x="34394" y="0"/>
                              </a:lnTo>
                              <a:lnTo>
                                <a:pt x="34394" y="10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1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7.182312pt;margin-top:10.468933pt;width:2.708262pt;height:.81375pt;mso-position-horizontal-relative:page;mso-position-vertical-relative:paragraph;z-index:15730176" id="docshape6" filled="true" fillcolor="#6e6158" stroked="false">
                <v:fill type="solid"/>
                <w10:wrap type="none"/>
              </v:rect>
            </w:pict>
          </mc:Fallback>
        </mc:AlternateContent>
      </w:r>
      <w:r>
        <w:rPr>
          <w:color w:val="6E6158"/>
        </w:rPr>
        <w:t>PACA, the </w:t>
      </w:r>
      <w:hyperlink r:id="rId27">
        <w:r>
          <w:rPr>
            <w:color w:val="F5821F"/>
          </w:rPr>
          <w:t>Department of Labor</w:t>
        </w:r>
      </w:hyperlink>
      <w:r>
        <w:rPr>
          <w:color w:val="6E6158"/>
        </w:rPr>
        <w:t>, and the Department of Food and Agriculture. As a result of our years of experience and large client base in the agricultural community, our litigation attorneys</w:t>
      </w:r>
      <w:r>
        <w:rPr>
          <w:color w:val="6E6158"/>
          <w:spacing w:val="40"/>
        </w:rPr>
        <w:t> </w:t>
      </w:r>
      <w:r>
        <w:rPr>
          <w:color w:val="6E6158"/>
        </w:rPr>
        <w:t>have developed a specialized knowledge regarding the food production industry and the types</w:t>
      </w:r>
      <w:r>
        <w:rPr>
          <w:color w:val="6E6158"/>
          <w:spacing w:val="80"/>
        </w:rPr>
        <w:t> </w:t>
      </w:r>
      <w:r>
        <w:rPr>
          <w:color w:val="6E6158"/>
        </w:rPr>
        <w:t>of disputes that can occur. Our litigation team also understands that not every dispute should or</w:t>
      </w:r>
      <w:r>
        <w:rPr>
          <w:color w:val="6E6158"/>
          <w:spacing w:val="40"/>
        </w:rPr>
        <w:t> </w:t>
      </w:r>
      <w:r>
        <w:rPr>
          <w:color w:val="6E6158"/>
        </w:rPr>
        <w:t>needs to result in litigation. For this reason, we also provide advisory services designed to</w:t>
      </w:r>
      <w:r>
        <w:rPr>
          <w:color w:val="6E6158"/>
          <w:spacing w:val="40"/>
        </w:rPr>
        <w:t> </w:t>
      </w:r>
      <w:r>
        <w:rPr>
          <w:color w:val="6E6158"/>
        </w:rPr>
        <w:t>proactively</w:t>
      </w:r>
      <w:r>
        <w:rPr>
          <w:color w:val="6E6158"/>
          <w:spacing w:val="28"/>
        </w:rPr>
        <w:t> </w:t>
      </w:r>
      <w:r>
        <w:rPr>
          <w:color w:val="6E6158"/>
        </w:rPr>
        <w:t>create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strategy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clients</w:t>
      </w:r>
      <w:r>
        <w:rPr>
          <w:color w:val="6E6158"/>
          <w:spacing w:val="28"/>
        </w:rPr>
        <w:t> </w:t>
      </w:r>
      <w:r>
        <w:rPr>
          <w:color w:val="6E6158"/>
        </w:rPr>
        <w:t>that</w:t>
      </w:r>
      <w:r>
        <w:rPr>
          <w:color w:val="6E6158"/>
          <w:spacing w:val="28"/>
        </w:rPr>
        <w:t> </w:t>
      </w:r>
      <w:r>
        <w:rPr>
          <w:color w:val="6E6158"/>
        </w:rPr>
        <w:t>will</w:t>
      </w:r>
      <w:r>
        <w:rPr>
          <w:color w:val="6E6158"/>
          <w:spacing w:val="28"/>
        </w:rPr>
        <w:t> </w:t>
      </w:r>
      <w:r>
        <w:rPr>
          <w:color w:val="6E6158"/>
        </w:rPr>
        <w:t>align</w:t>
      </w:r>
      <w:r>
        <w:rPr>
          <w:color w:val="6E6158"/>
          <w:spacing w:val="28"/>
        </w:rPr>
        <w:t> </w:t>
      </w:r>
      <w:r>
        <w:rPr>
          <w:color w:val="6E6158"/>
        </w:rPr>
        <w:t>with</w:t>
      </w:r>
      <w:r>
        <w:rPr>
          <w:color w:val="6E6158"/>
          <w:spacing w:val="28"/>
        </w:rPr>
        <w:t> </w:t>
      </w:r>
      <w:r>
        <w:rPr>
          <w:color w:val="6E6158"/>
        </w:rPr>
        <w:t>their</w:t>
      </w:r>
      <w:r>
        <w:rPr>
          <w:color w:val="6E6158"/>
          <w:spacing w:val="28"/>
        </w:rPr>
        <w:t> </w:t>
      </w:r>
      <w:r>
        <w:rPr>
          <w:color w:val="6E6158"/>
        </w:rPr>
        <w:t>overall</w:t>
      </w:r>
      <w:r>
        <w:rPr>
          <w:color w:val="6E6158"/>
          <w:spacing w:val="28"/>
        </w:rPr>
        <w:t> </w:t>
      </w:r>
      <w:r>
        <w:rPr>
          <w:color w:val="6E6158"/>
        </w:rPr>
        <w:t>business</w:t>
      </w:r>
      <w:r>
        <w:rPr>
          <w:color w:val="6E6158"/>
          <w:spacing w:val="28"/>
        </w:rPr>
        <w:t> </w:t>
      </w:r>
      <w:r>
        <w:rPr>
          <w:color w:val="6E6158"/>
        </w:rPr>
        <w:t>goals.</w:t>
      </w:r>
    </w:p>
    <w:p>
      <w:pPr>
        <w:pStyle w:val="Heading2"/>
        <w:spacing w:before="167"/>
      </w:pPr>
      <w:r>
        <w:rPr>
          <w:color w:val="FF8100"/>
        </w:rPr>
        <w:t>GROWING</w:t>
      </w:r>
      <w:r>
        <w:rPr>
          <w:color w:val="FF8100"/>
          <w:spacing w:val="10"/>
        </w:rPr>
        <w:t> </w:t>
      </w:r>
      <w:r>
        <w:rPr>
          <w:color w:val="FF8100"/>
        </w:rPr>
        <w:t>YOUR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AGRIBUSINESS</w:t>
      </w:r>
    </w:p>
    <w:p>
      <w:pPr>
        <w:pStyle w:val="BodyText"/>
        <w:spacing w:line="292" w:lineRule="auto" w:before="147"/>
        <w:ind w:left="99" w:firstLine="0"/>
      </w:pPr>
      <w:r>
        <w:rPr>
          <w:color w:val="6E6158"/>
        </w:rPr>
        <w:t>We have extensive experience advising clients in all areas of agribusiness and agricultural law,</w:t>
      </w:r>
      <w:r>
        <w:rPr>
          <w:color w:val="6E6158"/>
          <w:spacing w:val="40"/>
        </w:rPr>
        <w:t> </w:t>
      </w:r>
      <w:r>
        <w:rPr>
          <w:color w:val="6E6158"/>
        </w:rPr>
        <w:t>including but not limited to the following: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96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Bankruptcy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California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Department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Food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Agriculture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Matters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California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Producer’s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Lien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2"/>
          <w:sz w:val="19"/>
        </w:rPr>
        <w:t>Actions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Capper-Volstead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5"/>
          <w:sz w:val="19"/>
        </w:rPr>
        <w:t>Act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Collections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Cooperatives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Creditors’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2"/>
          <w:sz w:val="19"/>
        </w:rPr>
        <w:t>Rights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Crop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Loss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Insurance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Eminent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Domain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Entity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Formations,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Maintenance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2"/>
          <w:sz w:val="19"/>
        </w:rPr>
        <w:t>Structure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Environmental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Matters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Including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Hazardous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Substance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Endangered</w:t>
      </w:r>
      <w:r>
        <w:rPr>
          <w:color w:val="6E6158"/>
          <w:spacing w:val="19"/>
          <w:sz w:val="19"/>
        </w:rPr>
        <w:t> </w:t>
      </w:r>
      <w:r>
        <w:rPr>
          <w:color w:val="6E6158"/>
          <w:spacing w:val="-2"/>
          <w:sz w:val="19"/>
        </w:rPr>
        <w:t>Species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Planning,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Trusts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Succession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Planning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FDA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USDA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Regulations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Federal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Food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Drug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Cosmetic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5"/>
          <w:sz w:val="19"/>
        </w:rPr>
        <w:t>Act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Federal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Food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Security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5"/>
          <w:sz w:val="19"/>
        </w:rPr>
        <w:t>Act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Financing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Food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Safety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Food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Safety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Modernization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5"/>
          <w:sz w:val="19"/>
        </w:rPr>
        <w:t>Act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Grower,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Distributor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Marketing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Agreements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Immigration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Insurance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Intellectual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Property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Matters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Including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Trademarks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Patents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Labor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Employment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Liens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Market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Enforcement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2"/>
          <w:sz w:val="19"/>
        </w:rPr>
        <w:t>Orders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Mergers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Acquisitions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Packers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Stockyard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5"/>
          <w:sz w:val="19"/>
        </w:rPr>
        <w:t>Act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Perishable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Agricultural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Commodities</w:t>
      </w:r>
      <w:r>
        <w:rPr>
          <w:color w:val="6E6158"/>
          <w:spacing w:val="23"/>
          <w:sz w:val="19"/>
        </w:rPr>
        <w:t> </w:t>
      </w:r>
      <w:r>
        <w:rPr>
          <w:color w:val="6E6158"/>
          <w:spacing w:val="-5"/>
          <w:sz w:val="19"/>
        </w:rPr>
        <w:t>Act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Perishable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Agricultural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Commodities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Act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Reparation</w:t>
      </w:r>
      <w:r>
        <w:rPr>
          <w:color w:val="6E6158"/>
          <w:spacing w:val="19"/>
          <w:sz w:val="19"/>
        </w:rPr>
        <w:t> </w:t>
      </w:r>
      <w:r>
        <w:rPr>
          <w:color w:val="6E6158"/>
          <w:spacing w:val="-2"/>
          <w:sz w:val="19"/>
        </w:rPr>
        <w:t>Actions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Perishable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Agricultural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Commodities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Act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Disciplinary</w:t>
      </w:r>
      <w:r>
        <w:rPr>
          <w:color w:val="6E6158"/>
          <w:spacing w:val="19"/>
          <w:sz w:val="19"/>
        </w:rPr>
        <w:t> </w:t>
      </w:r>
      <w:r>
        <w:rPr>
          <w:color w:val="6E6158"/>
          <w:spacing w:val="-2"/>
          <w:sz w:val="19"/>
        </w:rPr>
        <w:t>Actions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Pesticide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2"/>
          <w:sz w:val="19"/>
        </w:rPr>
        <w:t>Damage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Plant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Protection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5"/>
          <w:sz w:val="19"/>
        </w:rPr>
        <w:t>Act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Product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Recall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Leases,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Acquisitions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Sales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Regulatory</w:t>
      </w:r>
      <w:r>
        <w:rPr>
          <w:color w:val="6E6158"/>
          <w:spacing w:val="20"/>
          <w:sz w:val="19"/>
        </w:rPr>
        <w:t> </w:t>
      </w:r>
      <w:r>
        <w:rPr>
          <w:color w:val="6E6158"/>
          <w:spacing w:val="-2"/>
          <w:sz w:val="19"/>
        </w:rPr>
        <w:t>Compliance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Sales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Agreements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Secured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Transactions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Services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Agreements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Social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Responsibility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Supplier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Agreements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Suspension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Agreement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Fresh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Tomatoes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from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Mexico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(2019)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Sustainability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Taxation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Transportation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Warehouse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Agreements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Water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Rights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Williamson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Act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Program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8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689" w:right="693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0"/>
      <w:ind w:left="4113"/>
      <w:outlineLvl w:val="3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95"/>
      <w:ind w:left="99"/>
      <w:outlineLvl w:val="4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s://www.fennemorelaw.com/services/agribusiness/" TargetMode="External"/><Relationship Id="rId11" Type="http://schemas.openxmlformats.org/officeDocument/2006/relationships/hyperlink" Target="https://www.fennemorelaw.com/services/business-and-finance/" TargetMode="External"/><Relationship Id="rId12" Type="http://schemas.openxmlformats.org/officeDocument/2006/relationships/hyperlink" Target="https://www.fennemorelaw.com/people/attorneys/kimberly-a-arana/" TargetMode="External"/><Relationship Id="rId13" Type="http://schemas.openxmlformats.org/officeDocument/2006/relationships/hyperlink" Target="https://www.fennemorelaw.com/contact-us/#nogales" TargetMode="External"/><Relationship Id="rId14" Type="http://schemas.openxmlformats.org/officeDocument/2006/relationships/hyperlink" Target="mailto:karana@fennemorelaw.com" TargetMode="External"/><Relationship Id="rId15" Type="http://schemas.openxmlformats.org/officeDocument/2006/relationships/hyperlink" Target="https://www.fennemorelaw.com/services/trusts-estates/" TargetMode="External"/><Relationship Id="rId16" Type="http://schemas.openxmlformats.org/officeDocument/2006/relationships/hyperlink" Target="https://www.fennemorelaw.com/people/attorneys/richard-m-aaron/" TargetMode="External"/><Relationship Id="rId17" Type="http://schemas.openxmlformats.org/officeDocument/2006/relationships/hyperlink" Target="https://www.fennemorelaw.com/contact-us/#fresno" TargetMode="External"/><Relationship Id="rId18" Type="http://schemas.openxmlformats.org/officeDocument/2006/relationships/hyperlink" Target="mailto:raaron@fennemorelaw.com" TargetMode="External"/><Relationship Id="rId19" Type="http://schemas.openxmlformats.org/officeDocument/2006/relationships/hyperlink" Target="https://www.fennemorelaw.com/services/practices/business-and-finance" TargetMode="External"/><Relationship Id="rId20" Type="http://schemas.openxmlformats.org/officeDocument/2006/relationships/hyperlink" Target="https://www.fennemorelaw.com/services/practices/intellectual-property-and-ip-litigation" TargetMode="External"/><Relationship Id="rId21" Type="http://schemas.openxmlformats.org/officeDocument/2006/relationships/hyperlink" Target="https://www.fennemorelaw.com/services/practices/estate-planning" TargetMode="External"/><Relationship Id="rId22" Type="http://schemas.openxmlformats.org/officeDocument/2006/relationships/hyperlink" Target="https://www.fennemorelaw.com/services/practices/employment-and-labor-relations" TargetMode="External"/><Relationship Id="rId23" Type="http://schemas.openxmlformats.org/officeDocument/2006/relationships/hyperlink" Target="https://www.fennemorelaw.com/services/practices/real-estate/" TargetMode="External"/><Relationship Id="rId24" Type="http://schemas.openxmlformats.org/officeDocument/2006/relationships/hyperlink" Target="https://www.fennemorelaw.com/services/practices/tax" TargetMode="External"/><Relationship Id="rId25" Type="http://schemas.openxmlformats.org/officeDocument/2006/relationships/hyperlink" Target="https://www.fennemorelaw.com/services/practices/natural-resources-energy-and-environmental" TargetMode="External"/><Relationship Id="rId26" Type="http://schemas.openxmlformats.org/officeDocument/2006/relationships/hyperlink" Target="https://www.fennemorelaw.com/services/practices/business-litigation" TargetMode="External"/><Relationship Id="rId27" Type="http://schemas.openxmlformats.org/officeDocument/2006/relationships/hyperlink" Target="https://www.dol.gov/" TargetMode="External"/><Relationship Id="rId2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Agribusiness - Fennemore</dc:title>
  <dcterms:created xsi:type="dcterms:W3CDTF">2026-06-05T08:55:31Z</dcterms:created>
  <dcterms:modified xsi:type="dcterms:W3CDTF">2026-06-05T08:55:31Z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