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lison Cart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222" w:right="225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ALISON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PULASKI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CARTER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602.916.5417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apulaskicarter@fennemorelaw.com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Alison Carter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222" w:right="225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ALISON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PULASKI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CARTER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602.916.5417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apulaskicarter@fennemorelaw.com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ALISON</w:t>
      </w:r>
      <w:r>
        <w:rPr>
          <w:color w:val="FF8100"/>
          <w:spacing w:val="9"/>
        </w:rPr>
        <w:t> </w:t>
      </w:r>
      <w:r>
        <w:rPr>
          <w:color w:val="FF8100"/>
        </w:rPr>
        <w:t>PULASKI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CARTER</w:t>
      </w:r>
    </w:p>
    <w:p>
      <w:pPr>
        <w:pStyle w:val="BodyText"/>
        <w:spacing w:line="297" w:lineRule="auto" w:before="147"/>
        <w:ind w:right="689"/>
      </w:pPr>
      <w:r>
        <w:rPr>
          <w:color w:val="6E6158"/>
        </w:rPr>
        <w:t>Alison Pulaski Carter practices in the area of labor and employment. Licensed in both Arizona</w:t>
      </w:r>
      <w:r>
        <w:rPr>
          <w:color w:val="6E6158"/>
          <w:spacing w:val="40"/>
        </w:rPr>
        <w:t> </w:t>
      </w:r>
      <w:r>
        <w:rPr>
          <w:color w:val="6E6158"/>
        </w:rPr>
        <w:t>and California, she is an experienced litigator and trusted advisor to her clients. Alison </w:t>
      </w:r>
      <w:r>
        <w:rPr>
          <w:color w:val="6E6158"/>
        </w:rPr>
        <w:t>counsels</w:t>
      </w:r>
      <w:r>
        <w:rPr>
          <w:color w:val="6E6158"/>
          <w:spacing w:val="40"/>
        </w:rPr>
        <w:t> </w:t>
      </w:r>
      <w:r>
        <w:rPr>
          <w:color w:val="6E6158"/>
        </w:rPr>
        <w:t>employers</w:t>
      </w:r>
      <w:r>
        <w:rPr>
          <w:color w:val="6E6158"/>
          <w:spacing w:val="29"/>
        </w:rPr>
        <w:t> </w:t>
      </w:r>
      <w:r>
        <w:rPr>
          <w:color w:val="6E6158"/>
        </w:rPr>
        <w:t>across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wide</w:t>
      </w:r>
      <w:r>
        <w:rPr>
          <w:color w:val="6E6158"/>
          <w:spacing w:val="29"/>
        </w:rPr>
        <w:t> </w:t>
      </w:r>
      <w:r>
        <w:rPr>
          <w:color w:val="6E6158"/>
        </w:rPr>
        <w:t>range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industries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both</w:t>
      </w:r>
      <w:r>
        <w:rPr>
          <w:color w:val="6E6158"/>
          <w:spacing w:val="29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matters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day-to-day</w:t>
      </w:r>
      <w:r>
        <w:rPr>
          <w:color w:val="6E6158"/>
          <w:spacing w:val="29"/>
        </w:rPr>
        <w:t> </w:t>
      </w:r>
      <w:r>
        <w:rPr>
          <w:color w:val="6E6158"/>
        </w:rPr>
        <w:t>issues.</w:t>
      </w:r>
    </w:p>
    <w:p>
      <w:pPr>
        <w:pStyle w:val="BodyText"/>
        <w:spacing w:line="295" w:lineRule="auto" w:before="191"/>
        <w:ind w:right="578"/>
      </w:pPr>
      <w:r>
        <w:rPr>
          <w:color w:val="6E6158"/>
        </w:rPr>
        <w:t>Alison regularly represents employers before state and federal courts, as well as administrative</w:t>
      </w:r>
      <w:r>
        <w:rPr>
          <w:color w:val="6E6158"/>
          <w:spacing w:val="40"/>
        </w:rPr>
        <w:t> </w:t>
      </w:r>
      <w:r>
        <w:rPr>
          <w:color w:val="6E6158"/>
        </w:rPr>
        <w:t>agencies (including the Equal Employment Opportunity Commission, Arizona Civil Rights </w:t>
      </w:r>
      <w:r>
        <w:rPr>
          <w:color w:val="6E6158"/>
        </w:rPr>
        <w:t>Division,</w:t>
      </w:r>
      <w:r>
        <w:rPr>
          <w:color w:val="6E6158"/>
          <w:spacing w:val="40"/>
        </w:rPr>
        <w:t> </w:t>
      </w:r>
      <w:r>
        <w:rPr>
          <w:color w:val="6E6158"/>
        </w:rPr>
        <w:t>and California Civil Rights Department). Her employment litigation experience includes claims</w:t>
      </w:r>
      <w:r>
        <w:rPr>
          <w:color w:val="6E6158"/>
          <w:spacing w:val="40"/>
        </w:rPr>
        <w:t> </w:t>
      </w:r>
      <w:r>
        <w:rPr>
          <w:color w:val="6E6158"/>
        </w:rPr>
        <w:t>involving</w:t>
      </w:r>
      <w:r>
        <w:rPr>
          <w:color w:val="6E6158"/>
          <w:spacing w:val="37"/>
        </w:rPr>
        <w:t> </w:t>
      </w:r>
      <w:r>
        <w:rPr>
          <w:color w:val="6E6158"/>
        </w:rPr>
        <w:t>wrongful</w:t>
      </w:r>
      <w:r>
        <w:rPr>
          <w:color w:val="6E6158"/>
          <w:spacing w:val="37"/>
        </w:rPr>
        <w:t> </w:t>
      </w:r>
      <w:r>
        <w:rPr>
          <w:color w:val="6E6158"/>
        </w:rPr>
        <w:t>termination,</w:t>
      </w:r>
      <w:r>
        <w:rPr>
          <w:color w:val="6E6158"/>
          <w:spacing w:val="37"/>
        </w:rPr>
        <w:t> </w:t>
      </w:r>
      <w:r>
        <w:rPr>
          <w:color w:val="6E6158"/>
        </w:rPr>
        <w:t>sexual</w:t>
      </w:r>
      <w:r>
        <w:rPr>
          <w:color w:val="6E6158"/>
          <w:spacing w:val="37"/>
        </w:rPr>
        <w:t> </w:t>
      </w:r>
      <w:r>
        <w:rPr>
          <w:color w:val="6E6158"/>
        </w:rPr>
        <w:t>harassment,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discrimination</w:t>
      </w:r>
      <w:r>
        <w:rPr>
          <w:color w:val="6E6158"/>
          <w:spacing w:val="37"/>
        </w:rPr>
        <w:t> </w:t>
      </w:r>
      <w:r>
        <w:rPr>
          <w:color w:val="6E6158"/>
        </w:rPr>
        <w:t>based</w:t>
      </w:r>
      <w:r>
        <w:rPr>
          <w:color w:val="6E6158"/>
          <w:spacing w:val="37"/>
        </w:rPr>
        <w:t> </w:t>
      </w:r>
      <w:r>
        <w:rPr>
          <w:color w:val="6E6158"/>
        </w:rPr>
        <w:t>on</w:t>
      </w:r>
      <w:r>
        <w:rPr>
          <w:color w:val="6E6158"/>
          <w:spacing w:val="37"/>
        </w:rPr>
        <w:t> </w:t>
      </w:r>
      <w:r>
        <w:rPr>
          <w:color w:val="6E6158"/>
        </w:rPr>
        <w:t>age,</w:t>
      </w:r>
      <w:r>
        <w:rPr>
          <w:color w:val="6E6158"/>
          <w:spacing w:val="37"/>
        </w:rPr>
        <w:t> </w:t>
      </w:r>
      <w:r>
        <w:rPr>
          <w:color w:val="6E6158"/>
        </w:rPr>
        <w:t>gender,</w:t>
      </w:r>
    </w:p>
    <w:p>
      <w:pPr>
        <w:pStyle w:val="BodyText"/>
        <w:spacing w:line="295" w:lineRule="auto" w:before="2"/>
        <w:ind w:right="578"/>
      </w:pPr>
      <w:r>
        <w:rPr>
          <w:color w:val="6E6158"/>
        </w:rPr>
        <w:t>religion, race, and disability. She also handles cases related to disability accommodations, </w:t>
      </w:r>
      <w:r>
        <w:rPr>
          <w:color w:val="6E6158"/>
        </w:rPr>
        <w:t>state</w:t>
      </w:r>
      <w:r>
        <w:rPr>
          <w:color w:val="6E6158"/>
          <w:spacing w:val="40"/>
        </w:rPr>
        <w:t> </w:t>
      </w:r>
      <w:r>
        <w:rPr>
          <w:color w:val="6E6158"/>
        </w:rPr>
        <w:t>and federal leave issues, wage and hour disputes, and restrictive covenants enforcement,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noncompete,</w:t>
      </w:r>
      <w:r>
        <w:rPr>
          <w:color w:val="6E6158"/>
          <w:spacing w:val="40"/>
        </w:rPr>
        <w:t> </w:t>
      </w:r>
      <w:r>
        <w:rPr>
          <w:color w:val="6E6158"/>
        </w:rPr>
        <w:t>non-solicitation,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confidentiality</w:t>
      </w:r>
      <w:r>
        <w:rPr>
          <w:color w:val="6E6158"/>
          <w:spacing w:val="40"/>
        </w:rPr>
        <w:t> </w:t>
      </w:r>
      <w:r>
        <w:rPr>
          <w:color w:val="6E6158"/>
        </w:rPr>
        <w:t>agreements.</w:t>
      </w:r>
      <w:r>
        <w:rPr>
          <w:color w:val="6E6158"/>
          <w:spacing w:val="40"/>
        </w:rPr>
        <w:t> </w:t>
      </w:r>
      <w:r>
        <w:rPr>
          <w:color w:val="6E6158"/>
        </w:rPr>
        <w:t>Her</w:t>
      </w:r>
      <w:r>
        <w:rPr>
          <w:color w:val="6E6158"/>
          <w:spacing w:val="40"/>
        </w:rPr>
        <w:t> </w:t>
      </w:r>
      <w:r>
        <w:rPr>
          <w:color w:val="6E6158"/>
        </w:rPr>
        <w:t>experience includes</w:t>
      </w:r>
      <w:r>
        <w:rPr>
          <w:color w:val="6E6158"/>
          <w:spacing w:val="40"/>
        </w:rPr>
        <w:t> </w:t>
      </w:r>
      <w:r>
        <w:rPr>
          <w:color w:val="6E6158"/>
        </w:rPr>
        <w:t>defending</w:t>
      </w:r>
      <w:r>
        <w:rPr>
          <w:color w:val="6E6158"/>
          <w:spacing w:val="40"/>
        </w:rPr>
        <w:t> </w:t>
      </w:r>
      <w:r>
        <w:rPr>
          <w:color w:val="6E6158"/>
        </w:rPr>
        <w:t>employers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multiple</w:t>
      </w:r>
      <w:r>
        <w:rPr>
          <w:color w:val="6E6158"/>
          <w:spacing w:val="40"/>
        </w:rPr>
        <w:t>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class-action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national wage-and-hour cases, and actions initiated by the EEOC. By making use of Alternative Dispute</w:t>
      </w:r>
      <w:r>
        <w:rPr>
          <w:color w:val="6E6158"/>
          <w:spacing w:val="40"/>
        </w:rPr>
        <w:t> </w:t>
      </w:r>
      <w:r>
        <w:rPr>
          <w:color w:val="6E6158"/>
        </w:rPr>
        <w:t>Resolution</w:t>
      </w:r>
      <w:r>
        <w:rPr>
          <w:color w:val="6E6158"/>
          <w:spacing w:val="35"/>
        </w:rPr>
        <w:t> </w:t>
      </w:r>
      <w:r>
        <w:rPr>
          <w:color w:val="6E6158"/>
        </w:rPr>
        <w:t>(ADR)</w:t>
      </w:r>
      <w:r>
        <w:rPr>
          <w:color w:val="6E6158"/>
          <w:spacing w:val="35"/>
        </w:rPr>
        <w:t> </w:t>
      </w:r>
      <w:r>
        <w:rPr>
          <w:color w:val="6E6158"/>
        </w:rPr>
        <w:t>processes,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mediation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arbitration,</w:t>
      </w:r>
      <w:r>
        <w:rPr>
          <w:color w:val="6E6158"/>
          <w:spacing w:val="35"/>
        </w:rPr>
        <w:t> </w:t>
      </w:r>
      <w:r>
        <w:rPr>
          <w:color w:val="6E6158"/>
        </w:rPr>
        <w:t>Alison</w:t>
      </w:r>
      <w:r>
        <w:rPr>
          <w:color w:val="6E6158"/>
          <w:spacing w:val="35"/>
        </w:rPr>
        <w:t> </w:t>
      </w:r>
      <w:r>
        <w:rPr>
          <w:color w:val="6E6158"/>
        </w:rPr>
        <w:t>often</w:t>
      </w:r>
      <w:r>
        <w:rPr>
          <w:color w:val="6E6158"/>
          <w:spacing w:val="35"/>
        </w:rPr>
        <w:t> </w:t>
      </w:r>
      <w:r>
        <w:rPr>
          <w:color w:val="6E6158"/>
        </w:rPr>
        <w:t>helps</w:t>
      </w:r>
      <w:r>
        <w:rPr>
          <w:color w:val="6E6158"/>
          <w:spacing w:val="35"/>
        </w:rPr>
        <w:t> </w:t>
      </w:r>
      <w:r>
        <w:rPr>
          <w:color w:val="6E6158"/>
        </w:rPr>
        <w:t>her</w:t>
      </w:r>
      <w:r>
        <w:rPr>
          <w:color w:val="6E6158"/>
          <w:spacing w:val="35"/>
        </w:rPr>
        <w:t> </w:t>
      </w:r>
      <w:r>
        <w:rPr>
          <w:color w:val="6E6158"/>
        </w:rPr>
        <w:t>clients with</w:t>
      </w:r>
      <w:r>
        <w:rPr>
          <w:color w:val="6E6158"/>
          <w:spacing w:val="40"/>
        </w:rPr>
        <w:t> </w:t>
      </w:r>
      <w:r>
        <w:rPr>
          <w:color w:val="6E6158"/>
        </w:rPr>
        <w:t>alternatives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resolving</w:t>
      </w:r>
      <w:r>
        <w:rPr>
          <w:color w:val="6E6158"/>
          <w:spacing w:val="40"/>
        </w:rPr>
        <w:t> </w:t>
      </w:r>
      <w:r>
        <w:rPr>
          <w:color w:val="6E6158"/>
        </w:rPr>
        <w:t>disputes</w:t>
      </w:r>
      <w:r>
        <w:rPr>
          <w:color w:val="6E6158"/>
          <w:spacing w:val="40"/>
        </w:rPr>
        <w:t> </w:t>
      </w:r>
      <w:r>
        <w:rPr>
          <w:color w:val="6E6158"/>
        </w:rPr>
        <w:t>efficiently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cost-effectively.</w:t>
      </w:r>
    </w:p>
    <w:p>
      <w:pPr>
        <w:pStyle w:val="BodyText"/>
        <w:spacing w:line="292" w:lineRule="auto" w:before="199"/>
        <w:ind w:right="578"/>
      </w:pPr>
      <w:r>
        <w:rPr>
          <w:color w:val="6E6158"/>
        </w:rPr>
        <w:t>Alison’s industry experience is broad and includes health care, education, courier, </w:t>
      </w:r>
      <w:r>
        <w:rPr>
          <w:color w:val="6E6158"/>
        </w:rPr>
        <w:t>transportation and</w:t>
      </w:r>
      <w:r>
        <w:rPr>
          <w:color w:val="6E6158"/>
          <w:spacing w:val="40"/>
        </w:rPr>
        <w:t> </w:t>
      </w:r>
      <w:r>
        <w:rPr>
          <w:color w:val="6E6158"/>
        </w:rPr>
        <w:t>logistics,</w:t>
      </w:r>
      <w:r>
        <w:rPr>
          <w:color w:val="6E6158"/>
          <w:spacing w:val="40"/>
        </w:rPr>
        <w:t> </w:t>
      </w:r>
      <w:r>
        <w:rPr>
          <w:color w:val="6E6158"/>
        </w:rPr>
        <w:t>technology,</w:t>
      </w:r>
      <w:r>
        <w:rPr>
          <w:color w:val="6E6158"/>
          <w:spacing w:val="40"/>
        </w:rPr>
        <w:t> </w:t>
      </w:r>
      <w:r>
        <w:rPr>
          <w:color w:val="6E6158"/>
        </w:rPr>
        <w:t>construction,</w:t>
      </w:r>
      <w:r>
        <w:rPr>
          <w:color w:val="6E6158"/>
          <w:spacing w:val="40"/>
        </w:rPr>
        <w:t> </w:t>
      </w:r>
      <w:r>
        <w:rPr>
          <w:color w:val="6E6158"/>
        </w:rPr>
        <w:t>aviation,</w:t>
      </w:r>
      <w:r>
        <w:rPr>
          <w:color w:val="6E6158"/>
          <w:spacing w:val="40"/>
        </w:rPr>
        <w:t> </w:t>
      </w:r>
      <w:r>
        <w:rPr>
          <w:color w:val="6E6158"/>
        </w:rPr>
        <w:t>cannabis,</w:t>
      </w:r>
      <w:r>
        <w:rPr>
          <w:color w:val="6E6158"/>
          <w:spacing w:val="40"/>
        </w:rPr>
        <w:t> </w:t>
      </w:r>
      <w:r>
        <w:rPr>
          <w:color w:val="6E6158"/>
        </w:rPr>
        <w:t>financial</w:t>
      </w:r>
      <w:r>
        <w:rPr>
          <w:color w:val="6E6158"/>
          <w:spacing w:val="40"/>
        </w:rPr>
        <w:t> </w:t>
      </w:r>
      <w:r>
        <w:rPr>
          <w:color w:val="6E6158"/>
        </w:rPr>
        <w:t>services,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hospitality</w:t>
      </w:r>
    </w:p>
    <w:p>
      <w:pPr>
        <w:pStyle w:val="BodyText"/>
        <w:spacing w:before="9"/>
      </w:pPr>
      <w:r>
        <w:rPr>
          <w:color w:val="6E6158"/>
        </w:rPr>
        <w:t>industries,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well</w:t>
      </w:r>
      <w:r>
        <w:rPr>
          <w:color w:val="6E6158"/>
          <w:spacing w:val="11"/>
        </w:rPr>
        <w:t> </w:t>
      </w:r>
      <w:r>
        <w:rPr>
          <w:color w:val="6E6158"/>
        </w:rPr>
        <w:t>as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municipal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agencies.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1"/>
        <w:ind w:right="505"/>
      </w:pPr>
      <w:r>
        <w:rPr>
          <w:color w:val="6E6158"/>
        </w:rPr>
        <w:t>In addition to litigation, Alison maintains a robust practice in employment investigations. She</w:t>
      </w:r>
      <w:r>
        <w:rPr>
          <w:color w:val="6E6158"/>
          <w:spacing w:val="40"/>
        </w:rPr>
        <w:t> </w:t>
      </w:r>
      <w:r>
        <w:rPr>
          <w:color w:val="6E6158"/>
        </w:rPr>
        <w:t>regularly conducts investigations and advises employers on highly sensitive matters ranging from</w:t>
      </w:r>
      <w:r>
        <w:rPr>
          <w:color w:val="6E6158"/>
          <w:spacing w:val="40"/>
        </w:rPr>
        <w:t> </w:t>
      </w:r>
      <w:r>
        <w:rPr>
          <w:color w:val="6E6158"/>
        </w:rPr>
        <w:t>Board-of-Director level inquiries to general workplace complaints. In matters involving governmental agencies, Alison handles investigations from inception through the mediation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conciliation process.</w:t>
      </w:r>
    </w:p>
    <w:p>
      <w:pPr>
        <w:pStyle w:val="BodyText"/>
        <w:spacing w:line="292" w:lineRule="auto" w:before="194"/>
        <w:ind w:right="578"/>
      </w:pPr>
      <w:r>
        <w:rPr>
          <w:color w:val="6E6158"/>
        </w:rPr>
        <w:t>To minimize risk and ensure legal compliance, Alison regularly counsels employers on federal and</w:t>
      </w:r>
      <w:r>
        <w:rPr>
          <w:color w:val="6E6158"/>
          <w:spacing w:val="40"/>
        </w:rPr>
        <w:t> </w:t>
      </w:r>
      <w:r>
        <w:rPr>
          <w:color w:val="6E6158"/>
        </w:rPr>
        <w:t>state</w:t>
      </w:r>
      <w:r>
        <w:rPr>
          <w:color w:val="6E6158"/>
          <w:spacing w:val="28"/>
        </w:rPr>
        <w:t> </w:t>
      </w:r>
      <w:r>
        <w:rPr>
          <w:color w:val="6E6158"/>
        </w:rPr>
        <w:t>laws</w:t>
      </w:r>
      <w:r>
        <w:rPr>
          <w:color w:val="6E6158"/>
          <w:spacing w:val="28"/>
        </w:rPr>
        <w:t> </w:t>
      </w:r>
      <w:r>
        <w:rPr>
          <w:color w:val="6E6158"/>
        </w:rPr>
        <w:t>including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Fair</w:t>
      </w:r>
      <w:r>
        <w:rPr>
          <w:color w:val="6E6158"/>
          <w:spacing w:val="28"/>
        </w:rPr>
        <w:t> </w:t>
      </w:r>
      <w:r>
        <w:rPr>
          <w:color w:val="6E6158"/>
        </w:rPr>
        <w:t>Labors</w:t>
      </w:r>
      <w:r>
        <w:rPr>
          <w:color w:val="6E6158"/>
          <w:spacing w:val="28"/>
        </w:rPr>
        <w:t> </w:t>
      </w:r>
      <w:r>
        <w:rPr>
          <w:color w:val="6E6158"/>
        </w:rPr>
        <w:t>Standard</w:t>
      </w:r>
      <w:r>
        <w:rPr>
          <w:color w:val="6E6158"/>
          <w:spacing w:val="28"/>
        </w:rPr>
        <w:t> </w:t>
      </w:r>
      <w:r>
        <w:rPr>
          <w:color w:val="6E6158"/>
        </w:rPr>
        <w:t>Act,</w:t>
      </w:r>
      <w:r>
        <w:rPr>
          <w:color w:val="6E6158"/>
          <w:spacing w:val="28"/>
        </w:rPr>
        <w:t> </w:t>
      </w:r>
      <w:r>
        <w:rPr>
          <w:color w:val="6E6158"/>
        </w:rPr>
        <w:t>Title</w:t>
      </w:r>
      <w:r>
        <w:rPr>
          <w:color w:val="6E6158"/>
          <w:spacing w:val="28"/>
        </w:rPr>
        <w:t> </w:t>
      </w:r>
      <w:r>
        <w:rPr>
          <w:color w:val="6E6158"/>
        </w:rPr>
        <w:t>VII,</w:t>
      </w:r>
      <w:r>
        <w:rPr>
          <w:color w:val="6E6158"/>
          <w:spacing w:val="28"/>
        </w:rPr>
        <w:t> </w:t>
      </w:r>
      <w:r>
        <w:rPr>
          <w:color w:val="6E6158"/>
        </w:rPr>
        <w:t>Section</w:t>
      </w:r>
      <w:r>
        <w:rPr>
          <w:color w:val="6E6158"/>
          <w:spacing w:val="28"/>
        </w:rPr>
        <w:t> </w:t>
      </w:r>
      <w:r>
        <w:rPr>
          <w:color w:val="6E6158"/>
        </w:rPr>
        <w:t>1981,</w:t>
      </w:r>
      <w:r>
        <w:rPr>
          <w:color w:val="6E6158"/>
          <w:spacing w:val="28"/>
        </w:rPr>
        <w:t> </w:t>
      </w:r>
      <w:r>
        <w:rPr>
          <w:color w:val="6E6158"/>
        </w:rPr>
        <w:t>Family</w:t>
      </w:r>
      <w:r>
        <w:rPr>
          <w:color w:val="6E6158"/>
          <w:spacing w:val="28"/>
        </w:rPr>
        <w:t> </w:t>
      </w:r>
      <w:r>
        <w:rPr>
          <w:color w:val="6E6158"/>
        </w:rPr>
        <w:t>Medical</w:t>
      </w:r>
      <w:r>
        <w:rPr>
          <w:color w:val="6E6158"/>
          <w:spacing w:val="28"/>
        </w:rPr>
        <w:t> </w:t>
      </w:r>
      <w:r>
        <w:rPr>
          <w:color w:val="6E6158"/>
        </w:rPr>
        <w:t>Leave</w:t>
      </w:r>
    </w:p>
    <w:p>
      <w:pPr>
        <w:pStyle w:val="BodyText"/>
        <w:spacing w:line="292" w:lineRule="auto" w:before="10"/>
        <w:ind w:right="578"/>
      </w:pPr>
      <w:r>
        <w:rPr>
          <w:color w:val="6E6158"/>
        </w:rPr>
        <w:t>Act, Americans with Disabilities Act, Age Discrimination in Employment Act, Arizona Wage Act,</w:t>
      </w:r>
      <w:r>
        <w:rPr>
          <w:color w:val="6E6158"/>
          <w:spacing w:val="40"/>
        </w:rPr>
        <w:t> </w:t>
      </w:r>
      <w:r>
        <w:rPr>
          <w:color w:val="6E6158"/>
        </w:rPr>
        <w:t>Arizona Civil Rights Act, California Fair Employment and Housing Act, and a wide range of other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38"/>
        </w:rPr>
        <w:t> </w:t>
      </w:r>
      <w:r>
        <w:rPr>
          <w:color w:val="6E6158"/>
        </w:rPr>
        <w:t>employment</w:t>
      </w:r>
      <w:r>
        <w:rPr>
          <w:color w:val="6E6158"/>
          <w:spacing w:val="38"/>
        </w:rPr>
        <w:t> </w:t>
      </w:r>
      <w:r>
        <w:rPr>
          <w:color w:val="6E6158"/>
        </w:rPr>
        <w:t>statutes.</w:t>
      </w:r>
      <w:r>
        <w:rPr>
          <w:color w:val="6E6158"/>
          <w:spacing w:val="38"/>
        </w:rPr>
        <w:t> </w:t>
      </w:r>
      <w:r>
        <w:rPr>
          <w:color w:val="6E6158"/>
        </w:rPr>
        <w:t>She</w:t>
      </w:r>
      <w:r>
        <w:rPr>
          <w:color w:val="6E6158"/>
          <w:spacing w:val="38"/>
        </w:rPr>
        <w:t> </w:t>
      </w:r>
      <w:r>
        <w:rPr>
          <w:color w:val="6E6158"/>
        </w:rPr>
        <w:t>also</w:t>
      </w:r>
      <w:r>
        <w:rPr>
          <w:color w:val="6E6158"/>
          <w:spacing w:val="38"/>
        </w:rPr>
        <w:t> </w:t>
      </w:r>
      <w:r>
        <w:rPr>
          <w:color w:val="6E6158"/>
        </w:rPr>
        <w:t>assists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drafting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implementing</w:t>
      </w:r>
      <w:r>
        <w:rPr>
          <w:color w:val="6E6158"/>
          <w:spacing w:val="38"/>
        </w:rPr>
        <w:t> </w:t>
      </w:r>
      <w:r>
        <w:rPr>
          <w:color w:val="6E6158"/>
        </w:rPr>
        <w:t>employee</w:t>
      </w:r>
    </w:p>
    <w:p>
      <w:pPr>
        <w:pStyle w:val="BodyText"/>
        <w:spacing w:before="2"/>
      </w:pPr>
      <w:r>
        <w:rPr>
          <w:color w:val="6E6158"/>
        </w:rPr>
        <w:t>handbooks,</w:t>
      </w:r>
      <w:r>
        <w:rPr>
          <w:color w:val="6E6158"/>
          <w:spacing w:val="18"/>
        </w:rPr>
        <w:t> </w:t>
      </w:r>
      <w:r>
        <w:rPr>
          <w:color w:val="6E6158"/>
        </w:rPr>
        <w:t>workplace</w:t>
      </w:r>
      <w:r>
        <w:rPr>
          <w:color w:val="6E6158"/>
          <w:spacing w:val="18"/>
        </w:rPr>
        <w:t> </w:t>
      </w:r>
      <w:r>
        <w:rPr>
          <w:color w:val="6E6158"/>
        </w:rPr>
        <w:t>policies,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employment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agreements.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5" w:lineRule="auto" w:before="83"/>
        <w:ind w:right="578"/>
      </w:pPr>
      <w:r>
        <w:rPr>
          <w:color w:val="6E6158"/>
        </w:rPr>
        <w:t>Beyond her employment practice, Alison has handled a variety of business litigation matters</w:t>
      </w:r>
      <w:r>
        <w:rPr>
          <w:color w:val="6E6158"/>
          <w:spacing w:val="40"/>
        </w:rPr>
        <w:t> </w:t>
      </w:r>
      <w:r>
        <w:rPr>
          <w:color w:val="6E6158"/>
        </w:rPr>
        <w:t>involving restrictive covenants, defamation, breach of contract, business torts, civil rights,</w:t>
      </w:r>
      <w:r>
        <w:rPr>
          <w:color w:val="6E6158"/>
          <w:spacing w:val="40"/>
        </w:rPr>
        <w:t>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malpractice,</w:t>
      </w:r>
      <w:r>
        <w:rPr>
          <w:color w:val="6E6158"/>
          <w:spacing w:val="40"/>
        </w:rPr>
        <w:t> </w:t>
      </w:r>
      <w:r>
        <w:rPr>
          <w:color w:val="6E6158"/>
        </w:rPr>
        <w:t>negligence,</w:t>
      </w:r>
      <w:r>
        <w:rPr>
          <w:color w:val="6E6158"/>
          <w:spacing w:val="40"/>
        </w:rPr>
        <w:t> </w:t>
      </w:r>
      <w:r>
        <w:rPr>
          <w:color w:val="6E6158"/>
        </w:rPr>
        <w:t>product</w:t>
      </w:r>
      <w:r>
        <w:rPr>
          <w:color w:val="6E6158"/>
          <w:spacing w:val="40"/>
        </w:rPr>
        <w:t> </w:t>
      </w:r>
      <w:r>
        <w:rPr>
          <w:color w:val="6E6158"/>
        </w:rPr>
        <w:t>liability,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post-judgment</w:t>
      </w:r>
      <w:r>
        <w:rPr>
          <w:color w:val="6E6158"/>
          <w:spacing w:val="40"/>
        </w:rPr>
        <w:t> </w:t>
      </w:r>
      <w:r>
        <w:rPr>
          <w:color w:val="6E6158"/>
        </w:rPr>
        <w:t>enforcement.</w:t>
      </w:r>
      <w:r>
        <w:rPr>
          <w:color w:val="6E6158"/>
          <w:spacing w:val="40"/>
        </w:rPr>
        <w:t> </w:t>
      </w:r>
      <w:r>
        <w:rPr>
          <w:color w:val="6E6158"/>
        </w:rPr>
        <w:t>She has also served as appellate counsel for local and national corporations in commercial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line="302" w:lineRule="auto" w:before="195"/>
        <w:ind w:right="578"/>
      </w:pPr>
      <w:r>
        <w:rPr>
          <w:color w:val="6E6158"/>
        </w:rPr>
        <w:t>Following law school, Alison clerked for the Honorable Earl H. Carroll of the United States District</w:t>
      </w:r>
      <w:r>
        <w:rPr>
          <w:color w:val="6E6158"/>
          <w:spacing w:val="40"/>
        </w:rPr>
        <w:t> </w:t>
      </w:r>
      <w:r>
        <w:rPr>
          <w:color w:val="6E6158"/>
        </w:rPr>
        <w:t>Court, District of Arizona.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spacing w:before="1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James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E.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Rogers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Perry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Rogers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Scholar</w:t>
      </w:r>
    </w:p>
    <w:p>
      <w:pPr>
        <w:pStyle w:val="BodyText"/>
        <w:spacing w:line="420" w:lineRule="auto" w:before="147"/>
        <w:ind w:left="343" w:right="5826"/>
      </w:pPr>
      <w:r>
        <w:rPr>
          <w:color w:val="6E6158"/>
        </w:rPr>
        <w:t>Staff Writer, Arizona Law </w:t>
      </w:r>
      <w:r>
        <w:rPr>
          <w:color w:val="6E6158"/>
        </w:rPr>
        <w:t>Review Dean’s Honor List</w:t>
      </w:r>
    </w:p>
    <w:p>
      <w:pPr>
        <w:pStyle w:val="BodyText"/>
        <w:spacing w:line="408" w:lineRule="auto" w:before="7"/>
        <w:ind w:right="5826" w:firstLine="244"/>
        <w:rPr>
          <w:i/>
          <w:sz w:val="20"/>
        </w:rPr>
      </w:pPr>
      <w:r>
        <w:rPr>
          <w:color w:val="6E6158"/>
        </w:rPr>
        <w:t>Ares Fellow, Professor Ellen M. </w:t>
      </w:r>
      <w:r>
        <w:rPr>
          <w:color w:val="6E6158"/>
        </w:rPr>
        <w:t>Bublick B.A., Yale University, </w:t>
      </w:r>
      <w:r>
        <w:rPr>
          <w:i/>
          <w:color w:val="6E6158"/>
          <w:sz w:val="20"/>
        </w:rPr>
        <w:t>with honors</w:t>
      </w:r>
    </w:p>
    <w:p>
      <w:pPr>
        <w:pStyle w:val="BodyText"/>
        <w:spacing w:line="209" w:lineRule="exact"/>
        <w:ind w:left="343"/>
      </w:pPr>
      <w:r>
        <w:rPr>
          <w:color w:val="6E6158"/>
        </w:rPr>
        <w:t>Albert</w:t>
      </w:r>
      <w:r>
        <w:rPr>
          <w:color w:val="6E6158"/>
          <w:spacing w:val="12"/>
        </w:rPr>
        <w:t> </w:t>
      </w:r>
      <w:r>
        <w:rPr>
          <w:color w:val="6E6158"/>
        </w:rPr>
        <w:t>Bildner</w:t>
      </w:r>
      <w:r>
        <w:rPr>
          <w:color w:val="6E6158"/>
          <w:spacing w:val="13"/>
        </w:rPr>
        <w:t> </w:t>
      </w:r>
      <w:r>
        <w:rPr>
          <w:color w:val="6E6158"/>
        </w:rPr>
        <w:t>Prize,</w:t>
      </w:r>
      <w:r>
        <w:rPr>
          <w:color w:val="6E6158"/>
          <w:spacing w:val="13"/>
        </w:rPr>
        <w:t> </w:t>
      </w:r>
      <w:r>
        <w:rPr>
          <w:color w:val="6E6158"/>
        </w:rPr>
        <w:t>Latin</w:t>
      </w:r>
      <w:r>
        <w:rPr>
          <w:color w:val="6E6158"/>
          <w:spacing w:val="13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History</w:t>
      </w:r>
    </w:p>
    <w:p>
      <w:pPr>
        <w:pStyle w:val="BodyText"/>
        <w:spacing w:before="17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6984"/>
      </w:pP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28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 w:before="1"/>
        <w:ind w:right="729"/>
      </w:pPr>
      <w:r>
        <w:rPr>
          <w:color w:val="6E6158"/>
        </w:rPr>
        <w:t>Successful defense of a healthcare provider in mass action litigation brought by EEOC on behalf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128</w:t>
      </w:r>
      <w:r>
        <w:rPr>
          <w:color w:val="6E6158"/>
          <w:spacing w:val="34"/>
        </w:rPr>
        <w:t> </w:t>
      </w:r>
      <w:r>
        <w:rPr>
          <w:color w:val="6E6158"/>
        </w:rPr>
        <w:t>aggrieved</w:t>
      </w:r>
      <w:r>
        <w:rPr>
          <w:color w:val="6E6158"/>
          <w:spacing w:val="34"/>
        </w:rPr>
        <w:t> </w:t>
      </w:r>
      <w:r>
        <w:rPr>
          <w:color w:val="6E6158"/>
        </w:rPr>
        <w:t>individuals</w:t>
      </w:r>
      <w:r>
        <w:rPr>
          <w:color w:val="6E6158"/>
          <w:spacing w:val="34"/>
        </w:rPr>
        <w:t> </w:t>
      </w:r>
      <w:r>
        <w:rPr>
          <w:color w:val="6E6158"/>
        </w:rPr>
        <w:t>alleging</w:t>
      </w:r>
      <w:r>
        <w:rPr>
          <w:color w:val="6E6158"/>
          <w:spacing w:val="34"/>
        </w:rPr>
        <w:t> </w:t>
      </w:r>
      <w:r>
        <w:rPr>
          <w:color w:val="6E6158"/>
        </w:rPr>
        <w:t>violations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disability</w:t>
      </w:r>
      <w:r>
        <w:rPr>
          <w:color w:val="6E6158"/>
          <w:spacing w:val="34"/>
        </w:rPr>
        <w:t> </w:t>
      </w:r>
      <w:r>
        <w:rPr>
          <w:color w:val="6E6158"/>
        </w:rPr>
        <w:t>discrimination</w:t>
      </w:r>
      <w:r>
        <w:rPr>
          <w:color w:val="6E6158"/>
          <w:spacing w:val="34"/>
        </w:rPr>
        <w:t> </w:t>
      </w:r>
      <w:r>
        <w:rPr>
          <w:color w:val="6E6158"/>
        </w:rPr>
        <w:t>under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ADA.</w:t>
      </w:r>
    </w:p>
    <w:p>
      <w:pPr>
        <w:pStyle w:val="BodyText"/>
        <w:spacing w:line="292" w:lineRule="auto" w:before="112"/>
        <w:ind w:right="530"/>
      </w:pPr>
      <w:r>
        <w:rPr>
          <w:color w:val="6E6158"/>
        </w:rPr>
        <w:t>Representation of eight executives in the negotiations of employment agreements in the </w:t>
      </w:r>
      <w:r>
        <w:rPr>
          <w:color w:val="6E6158"/>
        </w:rPr>
        <w:t>context</w:t>
      </w:r>
      <w:r>
        <w:rPr>
          <w:color w:val="6E6158"/>
          <w:spacing w:val="80"/>
        </w:rPr>
        <w:t> </w:t>
      </w:r>
      <w:r>
        <w:rPr>
          <w:color w:val="6E6158"/>
        </w:rPr>
        <w:t>of a business acquisition.</w:t>
      </w:r>
    </w:p>
    <w:p>
      <w:pPr>
        <w:pStyle w:val="BodyText"/>
        <w:spacing w:before="124"/>
      </w:pPr>
      <w:r>
        <w:rPr>
          <w:color w:val="6E6158"/>
        </w:rPr>
        <w:t>Obtained</w:t>
      </w:r>
      <w:r>
        <w:rPr>
          <w:color w:val="6E6158"/>
          <w:spacing w:val="12"/>
        </w:rPr>
        <w:t> </w:t>
      </w:r>
      <w:r>
        <w:rPr>
          <w:color w:val="6E6158"/>
        </w:rPr>
        <w:t>grant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motion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dismiss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defamation</w:t>
      </w:r>
      <w:r>
        <w:rPr>
          <w:color w:val="6E6158"/>
          <w:spacing w:val="12"/>
        </w:rPr>
        <w:t> </w:t>
      </w:r>
      <w:r>
        <w:rPr>
          <w:color w:val="6E6158"/>
        </w:rPr>
        <w:t>(libel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slander)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claims.</w:t>
      </w:r>
    </w:p>
    <w:p>
      <w:pPr>
        <w:pStyle w:val="BodyText"/>
        <w:spacing w:line="292" w:lineRule="auto" w:before="182"/>
        <w:ind w:right="578"/>
      </w:pPr>
      <w:r>
        <w:rPr>
          <w:color w:val="6E6158"/>
        </w:rPr>
        <w:t>Successfully defended and prosecuted unfair competition, restrictive covenant </w:t>
      </w:r>
      <w:r>
        <w:rPr>
          <w:color w:val="6E6158"/>
        </w:rPr>
        <w:t>(including employee non-compete cases), and trade secret litigation,</w:t>
      </w:r>
    </w:p>
    <w:p>
      <w:pPr>
        <w:pStyle w:val="BodyText"/>
        <w:spacing w:line="292" w:lineRule="auto" w:before="123"/>
        <w:ind w:right="578"/>
      </w:pPr>
      <w:r>
        <w:rPr>
          <w:color w:val="6E6158"/>
        </w:rPr>
        <w:t>Obtained complete dismissal on summary judgment of six causes of action, which </w:t>
      </w:r>
      <w:r>
        <w:rPr>
          <w:color w:val="6E6158"/>
        </w:rPr>
        <w:t>included</w:t>
      </w:r>
      <w:r>
        <w:rPr>
          <w:color w:val="6E6158"/>
          <w:spacing w:val="40"/>
        </w:rPr>
        <w:t> </w:t>
      </w:r>
      <w:r>
        <w:rPr>
          <w:color w:val="6E6158"/>
        </w:rPr>
        <w:t>gender</w:t>
      </w:r>
      <w:r>
        <w:rPr>
          <w:color w:val="6E6158"/>
          <w:spacing w:val="40"/>
        </w:rPr>
        <w:t> </w:t>
      </w:r>
      <w:r>
        <w:rPr>
          <w:color w:val="6E6158"/>
        </w:rPr>
        <w:t>discrimination,</w:t>
      </w:r>
      <w:r>
        <w:rPr>
          <w:color w:val="6E6158"/>
          <w:spacing w:val="40"/>
        </w:rPr>
        <w:t> </w:t>
      </w:r>
      <w:r>
        <w:rPr>
          <w:color w:val="6E6158"/>
        </w:rPr>
        <w:t>wrongful</w:t>
      </w:r>
      <w:r>
        <w:rPr>
          <w:color w:val="6E6158"/>
          <w:spacing w:val="40"/>
        </w:rPr>
        <w:t> </w:t>
      </w:r>
      <w:r>
        <w:rPr>
          <w:color w:val="6E6158"/>
        </w:rPr>
        <w:t>termination,</w:t>
      </w:r>
      <w:r>
        <w:rPr>
          <w:color w:val="6E6158"/>
          <w:spacing w:val="40"/>
        </w:rPr>
        <w:t> </w:t>
      </w:r>
      <w:r>
        <w:rPr>
          <w:color w:val="6E6158"/>
        </w:rPr>
        <w:t>retaliation,</w:t>
      </w:r>
      <w:r>
        <w:rPr>
          <w:color w:val="6E6158"/>
          <w:spacing w:val="40"/>
        </w:rPr>
        <w:t> </w:t>
      </w:r>
      <w:r>
        <w:rPr>
          <w:color w:val="6E6158"/>
        </w:rPr>
        <w:t>failure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prevent</w:t>
      </w:r>
      <w:r>
        <w:rPr>
          <w:color w:val="6E6158"/>
          <w:spacing w:val="40"/>
        </w:rPr>
        <w:t> </w:t>
      </w:r>
      <w:r>
        <w:rPr>
          <w:color w:val="6E6158"/>
        </w:rPr>
        <w:t>discrimination,</w:t>
      </w:r>
    </w:p>
    <w:p>
      <w:pPr>
        <w:pStyle w:val="BodyText"/>
        <w:spacing w:line="292" w:lineRule="auto" w:before="9"/>
        <w:ind w:right="578"/>
      </w:pPr>
      <w:r>
        <w:rPr>
          <w:color w:val="6E6158"/>
        </w:rPr>
        <w:t>harassment, and retaliation, and intentional infliction of emotional distress, in the Northern </w:t>
      </w:r>
      <w:r>
        <w:rPr>
          <w:color w:val="6E6158"/>
        </w:rPr>
        <w:t>District</w:t>
      </w:r>
      <w:r>
        <w:rPr>
          <w:color w:val="6E6158"/>
          <w:spacing w:val="80"/>
        </w:rPr>
        <w:t> </w:t>
      </w:r>
      <w:r>
        <w:rPr>
          <w:color w:val="6E6158"/>
        </w:rPr>
        <w:t>of California.</w:t>
      </w:r>
    </w:p>
    <w:p>
      <w:pPr>
        <w:pStyle w:val="BodyText"/>
        <w:spacing w:line="297" w:lineRule="auto" w:before="124"/>
        <w:ind w:right="689"/>
      </w:pPr>
      <w:r>
        <w:rPr>
          <w:color w:val="6E6158"/>
        </w:rPr>
        <w:t>Achieved a defense verdict, including collection of attorney’s fees, in arbitration on five counts</w:t>
      </w:r>
      <w:r>
        <w:rPr>
          <w:color w:val="6E6158"/>
          <w:spacing w:val="40"/>
        </w:rPr>
        <w:t> </w:t>
      </w:r>
      <w:r>
        <w:rPr>
          <w:color w:val="6E6158"/>
        </w:rPr>
        <w:t>against individual and employer defendants in a California claim asserting sexual harassment,</w:t>
      </w:r>
      <w:r>
        <w:rPr>
          <w:color w:val="6E6158"/>
          <w:spacing w:val="40"/>
        </w:rPr>
        <w:t> </w:t>
      </w:r>
      <w:r>
        <w:rPr>
          <w:color w:val="6E6158"/>
        </w:rPr>
        <w:t>retaliation, and gender discrimination.</w:t>
      </w:r>
    </w:p>
    <w:p>
      <w:pPr>
        <w:pStyle w:val="BodyText"/>
        <w:spacing w:before="118"/>
      </w:pPr>
      <w:r>
        <w:rPr>
          <w:color w:val="6E6158"/>
        </w:rPr>
        <w:t>Obtained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complete</w:t>
      </w:r>
      <w:r>
        <w:rPr>
          <w:color w:val="6E6158"/>
          <w:spacing w:val="11"/>
        </w:rPr>
        <w:t> </w:t>
      </w:r>
      <w:r>
        <w:rPr>
          <w:color w:val="6E6158"/>
        </w:rPr>
        <w:t>victory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leading</w:t>
      </w:r>
      <w:r>
        <w:rPr>
          <w:color w:val="6E6158"/>
          <w:spacing w:val="11"/>
        </w:rPr>
        <w:t> </w:t>
      </w:r>
      <w:r>
        <w:rPr>
          <w:color w:val="6E6158"/>
        </w:rPr>
        <w:t>parcel</w:t>
      </w:r>
      <w:r>
        <w:rPr>
          <w:color w:val="6E6158"/>
          <w:spacing w:val="11"/>
        </w:rPr>
        <w:t> </w:t>
      </w:r>
      <w:r>
        <w:rPr>
          <w:color w:val="6E6158"/>
        </w:rPr>
        <w:t>delivery</w:t>
      </w:r>
      <w:r>
        <w:rPr>
          <w:color w:val="6E6158"/>
          <w:spacing w:val="10"/>
        </w:rPr>
        <w:t> </w:t>
      </w:r>
      <w:r>
        <w:rPr>
          <w:color w:val="6E6158"/>
        </w:rPr>
        <w:t>client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claims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disability</w:t>
      </w:r>
    </w:p>
    <w:p>
      <w:pPr>
        <w:pStyle w:val="BodyText"/>
        <w:spacing w:line="302" w:lineRule="auto" w:before="52"/>
        <w:ind w:right="578"/>
      </w:pPr>
      <w:r>
        <w:rPr>
          <w:color w:val="6E6158"/>
        </w:rPr>
        <w:t>discrimination, failure to accommodate, and failure to engage in the interactive process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California.</w:t>
      </w:r>
    </w:p>
    <w:p>
      <w:pPr>
        <w:pStyle w:val="BodyText"/>
        <w:spacing w:line="292" w:lineRule="auto" w:before="112"/>
        <w:ind w:right="578"/>
      </w:pPr>
      <w:r>
        <w:rPr>
          <w:color w:val="6E6158"/>
        </w:rPr>
        <w:t>Successfully defended employers in class-action litigation, including a national wage and </w:t>
      </w:r>
      <w:r>
        <w:rPr>
          <w:color w:val="6E6158"/>
        </w:rPr>
        <w:t>hour</w:t>
      </w:r>
      <w:r>
        <w:rPr>
          <w:color w:val="6E6158"/>
          <w:spacing w:val="40"/>
        </w:rPr>
        <w:t> </w:t>
      </w:r>
      <w:r>
        <w:rPr>
          <w:color w:val="6E6158"/>
        </w:rPr>
        <w:t>class action and EEOC-initiated class actions.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7" w:lineRule="auto" w:before="83"/>
        <w:ind w:right="729"/>
      </w:pPr>
      <w:r>
        <w:rPr>
          <w:color w:val="6E6158"/>
        </w:rPr>
        <w:t>Achieved numerous “no cause” findings on charges filed with the Equal Employment Opportunity Commission, the Arizona Civil Rights Division, and the California Civil </w:t>
      </w:r>
      <w:r>
        <w:rPr>
          <w:color w:val="6E6158"/>
        </w:rPr>
        <w:t>Rights Department (formerly DFEH).</w:t>
      </w:r>
    </w:p>
    <w:p>
      <w:pPr>
        <w:pStyle w:val="BodyText"/>
        <w:spacing w:before="107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Southwest</w:t>
      </w:r>
      <w:r>
        <w:rPr>
          <w:color w:val="6E6158"/>
          <w:spacing w:val="14"/>
        </w:rPr>
        <w:t> </w:t>
      </w:r>
      <w:r>
        <w:rPr>
          <w:color w:val="6E6158"/>
        </w:rPr>
        <w:t>Rising</w:t>
      </w:r>
      <w:r>
        <w:rPr>
          <w:color w:val="6E6158"/>
          <w:spacing w:val="14"/>
        </w:rPr>
        <w:t> </w:t>
      </w:r>
      <w:r>
        <w:rPr>
          <w:color w:val="6E6158"/>
        </w:rPr>
        <w:t>Star,</w:t>
      </w:r>
      <w:r>
        <w:rPr>
          <w:color w:val="6E6158"/>
          <w:spacing w:val="14"/>
        </w:rPr>
        <w:t> </w:t>
      </w:r>
      <w:r>
        <w:rPr>
          <w:color w:val="6E6158"/>
        </w:rPr>
        <w:t>Super</w:t>
      </w:r>
      <w:r>
        <w:rPr>
          <w:color w:val="6E6158"/>
          <w:spacing w:val="14"/>
        </w:rPr>
        <w:t> </w:t>
      </w:r>
      <w:r>
        <w:rPr>
          <w:color w:val="6E6158"/>
        </w:rPr>
        <w:t>Lawyers,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Employment</w:t>
      </w:r>
      <w:r>
        <w:rPr>
          <w:color w:val="6E6158"/>
          <w:spacing w:val="14"/>
        </w:rPr>
        <w:t> </w:t>
      </w:r>
      <w:r>
        <w:rPr>
          <w:color w:val="6E6158"/>
        </w:rPr>
        <w:t>Litigation,</w:t>
      </w:r>
      <w:r>
        <w:rPr>
          <w:color w:val="6E6158"/>
          <w:spacing w:val="14"/>
        </w:rPr>
        <w:t> </w:t>
      </w:r>
      <w:r>
        <w:rPr>
          <w:color w:val="6E6158"/>
        </w:rPr>
        <w:t>2012-</w:t>
      </w:r>
      <w:r>
        <w:rPr>
          <w:color w:val="6E6158"/>
          <w:spacing w:val="-4"/>
        </w:rPr>
        <w:t>2017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 w:before="1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Supreme Court Confirms: Title VII protects minority and majority members </w:t>
        </w:r>
        <w:r>
          <w:rPr>
            <w:color w:val="F5821F"/>
          </w:rPr>
          <w:t>equally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Fennemore Blog, June 6, 2025</w:t>
      </w:r>
    </w:p>
    <w:p>
      <w:pPr>
        <w:pStyle w:val="BodyText"/>
        <w:spacing w:line="292" w:lineRule="auto" w:before="112"/>
        <w:ind w:right="578"/>
      </w:pPr>
      <w:r>
        <w:rPr>
          <w:color w:val="6E6158"/>
        </w:rPr>
        <w:t>Co-Author, “Mandatory Reassignment as an Accommodation,” Arizona Attorney </w:t>
      </w:r>
      <w:r>
        <w:rPr>
          <w:color w:val="6E6158"/>
        </w:rPr>
        <w:t>Magazine, January 2024</w:t>
      </w:r>
    </w:p>
    <w:p>
      <w:pPr>
        <w:pStyle w:val="BodyText"/>
        <w:spacing w:line="295" w:lineRule="auto" w:before="124"/>
        <w:ind w:right="578"/>
      </w:pPr>
      <w:r>
        <w:rPr>
          <w:color w:val="6E6158"/>
        </w:rPr>
        <w:t>Co-Author, Chapter entitled “Recovery of Costs and Fees for Non-Lawyer Services,” </w:t>
      </w:r>
      <w:r>
        <w:rPr>
          <w:color w:val="6E6158"/>
        </w:rPr>
        <w:t>Arizona Attorneys’ Fee Manual, 5</w:t>
      </w:r>
      <w:r>
        <w:rPr>
          <w:color w:val="6E6158"/>
          <w:position w:val="7"/>
          <w:sz w:val="16"/>
        </w:rPr>
        <w:t>th</w:t>
      </w:r>
      <w:r>
        <w:rPr>
          <w:color w:val="6E6158"/>
        </w:rPr>
        <w:t>, 2010</w:t>
      </w:r>
    </w:p>
    <w:p>
      <w:pPr>
        <w:pStyle w:val="BodyText"/>
        <w:spacing w:before="108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3028"/>
      </w:pPr>
      <w:r>
        <w:rPr>
          <w:color w:val="6E6158"/>
        </w:rPr>
        <w:t>Vice President, Board of Directors, Childsplay Theatre, 2018-</w:t>
      </w:r>
      <w:r>
        <w:rPr>
          <w:color w:val="6E6158"/>
        </w:rPr>
        <w:t>Present Member, Executive Committee, Childsplay Theatre, 2009-Present Member, Alumni Board, Phoenix Country Day School, 2024-Present Panel Judge, Ninth Circuit Annual Civics Contest, 2018-Present</w:t>
      </w:r>
    </w:p>
    <w:p>
      <w:pPr>
        <w:pStyle w:val="BodyText"/>
        <w:spacing w:line="420" w:lineRule="auto"/>
        <w:ind w:right="578"/>
      </w:pPr>
      <w:r>
        <w:rPr>
          <w:color w:val="6E6158"/>
        </w:rPr>
        <w:t>Chair Mock Interview Committee, Maricopa Bar Associate, Young Lawyers Division, 2009-</w:t>
      </w:r>
      <w:r>
        <w:rPr>
          <w:color w:val="6E6158"/>
        </w:rPr>
        <w:t>2011 Member, Maricopa Bar Associate, Young Lawyers Division, 2008-2011</w:t>
      </w:r>
    </w:p>
    <w:p>
      <w:pPr>
        <w:pStyle w:val="BodyText"/>
        <w:spacing w:line="420" w:lineRule="auto" w:before="2"/>
        <w:ind w:right="6984"/>
      </w:pPr>
      <w:r>
        <w:rPr>
          <w:color w:val="6E6158"/>
        </w:rPr>
        <w:t>Arizona Bar Association California Bar Association American Bar </w:t>
      </w:r>
      <w:r>
        <w:rPr>
          <w:color w:val="6E6158"/>
        </w:rPr>
        <w:t>Association Federal Bar Association</w:t>
      </w:r>
    </w:p>
    <w:p>
      <w:pPr>
        <w:pStyle w:val="Heading1"/>
        <w:spacing w:before="288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8103"/>
      </w:pPr>
      <w:r>
        <w:rPr>
          <w:color w:val="6E6158"/>
          <w:spacing w:val="-2"/>
        </w:rPr>
        <w:t>Arizona California</w:t>
      </w:r>
    </w:p>
    <w:p>
      <w:pPr>
        <w:pStyle w:val="BodyText"/>
        <w:spacing w:line="231" w:lineRule="exact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pulaskicarter@fennemorelaw.com" TargetMode="External"/><Relationship Id="rId11" Type="http://schemas.openxmlformats.org/officeDocument/2006/relationships/hyperlink" Target="https://www.fennemorelaw.com/supreme-court-confirms-title-vii-protects-minority-and-majority-members-equally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Alison Pulaski Carter - Fennemore</dc:title>
  <dcterms:created xsi:type="dcterms:W3CDTF">2026-06-12T09:42:18Z</dcterms:created>
  <dcterms:modified xsi:type="dcterms:W3CDTF">2026-06-12T09:42:18Z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