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mir Freema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2944" y="1369338"/>
                            <a:ext cx="18192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320675">
                                <a:moveTo>
                                  <a:pt x="1818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8894" y="320382"/>
                                </a:lnTo>
                                <a:lnTo>
                                  <a:pt x="1818894" y="315214"/>
                                </a:lnTo>
                                <a:close/>
                              </a:path>
                              <a:path w="1819275" h="320675">
                                <a:moveTo>
                                  <a:pt x="181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8894" y="5168"/>
                                </a:lnTo>
                                <a:lnTo>
                                  <a:pt x="181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AMIR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FREEMAN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3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mir Freema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36;top:2156;width:2865;height:505" id="docshape5" coordorigin="5737,2156" coordsize="2865,505" path="m8601,2653l5737,2653,5737,2661,8601,2661,8601,2653xm8601,2156l5737,2156,5737,2165,8601,2165,860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AMIR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FREEMAN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603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559.432.4590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AMIR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before="147"/>
      </w:pPr>
      <w:r>
        <w:rPr>
          <w:color w:val="6E6158"/>
        </w:rPr>
        <w:t>Amir</w:t>
      </w:r>
      <w:r>
        <w:rPr>
          <w:color w:val="6E6158"/>
          <w:spacing w:val="10"/>
        </w:rPr>
        <w:t> </w:t>
      </w:r>
      <w:r>
        <w:rPr>
          <w:color w:val="6E6158"/>
        </w:rPr>
        <w:t>Freeman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Associate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practicing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hyperlink r:id="rId11">
        <w:r>
          <w:rPr>
            <w:color w:val="F5821F"/>
          </w:rPr>
          <w:t>Estate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Planning</w:t>
        </w:r>
      </w:hyperlink>
      <w:r>
        <w:rPr>
          <w:color w:val="6E6158"/>
          <w:spacing w:val="-2"/>
        </w:rPr>
        <w:t>.</w:t>
      </w:r>
    </w:p>
    <w:p>
      <w:pPr>
        <w:pStyle w:val="BodyText"/>
        <w:spacing w:line="292" w:lineRule="auto" w:before="60"/>
        <w:ind w:right="644" w:firstLine="54"/>
      </w:pPr>
      <w:r>
        <w:rPr>
          <w:color w:val="6E6158"/>
        </w:rPr>
        <w:t>He works with clients on matters involving entity structure and formation, mergers </w:t>
      </w:r>
      <w:r>
        <w:rPr>
          <w:color w:val="6E6158"/>
        </w:rPr>
        <w:t>and acquisitions, trust administration, and trust planning.</w:t>
      </w:r>
    </w:p>
    <w:p>
      <w:pPr>
        <w:pStyle w:val="BodyText"/>
        <w:spacing w:line="297" w:lineRule="auto" w:before="196"/>
        <w:ind w:right="202"/>
      </w:pPr>
      <w:r>
        <w:rPr>
          <w:color w:val="6E6158"/>
        </w:rPr>
        <w:t>Amir earned his law degree from the Gould School of Law at the University of Southern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(USC). During his time at USC, Amir was a mentor at Legal Education Access Pipeline, where he</w:t>
      </w:r>
      <w:r>
        <w:rPr>
          <w:color w:val="6E6158"/>
          <w:spacing w:val="40"/>
        </w:rPr>
        <w:t> </w:t>
      </w:r>
      <w:r>
        <w:rPr>
          <w:color w:val="6E6158"/>
        </w:rPr>
        <w:t>supported</w:t>
      </w:r>
      <w:r>
        <w:rPr>
          <w:color w:val="6E6158"/>
          <w:spacing w:val="35"/>
        </w:rPr>
        <w:t> </w:t>
      </w:r>
      <w:r>
        <w:rPr>
          <w:color w:val="6E6158"/>
        </w:rPr>
        <w:t>low-income,</w:t>
      </w:r>
      <w:r>
        <w:rPr>
          <w:color w:val="6E6158"/>
          <w:spacing w:val="35"/>
        </w:rPr>
        <w:t> </w:t>
      </w:r>
      <w:r>
        <w:rPr>
          <w:color w:val="6E6158"/>
        </w:rPr>
        <w:t>marginalized</w:t>
      </w:r>
      <w:r>
        <w:rPr>
          <w:color w:val="6E6158"/>
          <w:spacing w:val="35"/>
        </w:rPr>
        <w:t> </w:t>
      </w:r>
      <w:r>
        <w:rPr>
          <w:color w:val="6E6158"/>
        </w:rPr>
        <w:t>students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create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school</w:t>
      </w:r>
      <w:r>
        <w:rPr>
          <w:color w:val="6E6158"/>
          <w:spacing w:val="35"/>
        </w:rPr>
        <w:t> </w:t>
      </w:r>
      <w:r>
        <w:rPr>
          <w:color w:val="6E6158"/>
        </w:rPr>
        <w:t>applications.</w:t>
      </w:r>
      <w:r>
        <w:rPr>
          <w:color w:val="6E6158"/>
          <w:spacing w:val="35"/>
        </w:rPr>
        <w:t> </w:t>
      </w:r>
      <w:r>
        <w:rPr>
          <w:color w:val="6E6158"/>
        </w:rPr>
        <w:t>He</w:t>
      </w:r>
      <w:r>
        <w:rPr>
          <w:color w:val="6E6158"/>
          <w:spacing w:val="35"/>
        </w:rPr>
        <w:t> </w:t>
      </w:r>
      <w:r>
        <w:rPr>
          <w:color w:val="6E6158"/>
        </w:rPr>
        <w:t>was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</w:p>
    <w:p>
      <w:pPr>
        <w:pStyle w:val="BodyText"/>
        <w:spacing w:line="297" w:lineRule="auto"/>
        <w:ind w:right="554"/>
        <w:jc w:val="both"/>
      </w:pPr>
      <w:r>
        <w:rPr>
          <w:color w:val="6E6158"/>
        </w:rPr>
        <w:t>president of USC Gould Street Law and the community outreach chair of the Black Law Student Association. As a USC Research Assistant, he gained valuable insight into how the intersection </w:t>
      </w:r>
      <w:r>
        <w:rPr>
          <w:color w:val="6E6158"/>
        </w:rPr>
        <w:t>of law, race, and journalism influences prosecutorial conduct in criminal law.</w:t>
      </w:r>
    </w:p>
    <w:p>
      <w:pPr>
        <w:pStyle w:val="BodyText"/>
        <w:spacing w:before="187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spare</w:t>
      </w:r>
      <w:r>
        <w:rPr>
          <w:color w:val="6E6158"/>
          <w:spacing w:val="12"/>
        </w:rPr>
        <w:t> </w:t>
      </w:r>
      <w:r>
        <w:rPr>
          <w:color w:val="6E6158"/>
        </w:rPr>
        <w:t>time,</w:t>
      </w:r>
      <w:r>
        <w:rPr>
          <w:color w:val="6E6158"/>
          <w:spacing w:val="11"/>
        </w:rPr>
        <w:t> </w:t>
      </w:r>
      <w:r>
        <w:rPr>
          <w:color w:val="6E6158"/>
        </w:rPr>
        <w:t>Amir</w:t>
      </w:r>
      <w:r>
        <w:rPr>
          <w:color w:val="6E6158"/>
          <w:spacing w:val="12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mixology,</w:t>
      </w:r>
      <w:r>
        <w:rPr>
          <w:color w:val="6E6158"/>
          <w:spacing w:val="12"/>
        </w:rPr>
        <w:t> </w:t>
      </w:r>
      <w:r>
        <w:rPr>
          <w:color w:val="6E6158"/>
        </w:rPr>
        <w:t>photography,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challenging</w:t>
      </w:r>
      <w:r>
        <w:rPr>
          <w:color w:val="6E6158"/>
          <w:spacing w:val="11"/>
        </w:rPr>
        <w:t> </w:t>
      </w:r>
      <w:r>
        <w:rPr>
          <w:color w:val="6E6158"/>
        </w:rPr>
        <w:t>game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billiards.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042"/>
      </w:pP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372"/>
      </w:pPr>
      <w:r>
        <w:rPr>
          <w:color w:val="6E6158"/>
        </w:rPr>
        <w:t>Business &amp; </w:t>
      </w:r>
      <w:r>
        <w:rPr>
          <w:color w:val="6E6158"/>
        </w:rPr>
        <w:t>Finance Estate Planning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4042"/>
      </w:pPr>
      <w:r>
        <w:rPr>
          <w:color w:val="6E6158"/>
        </w:rPr>
        <w:t>Research Assistant, USC Gould School of Law, 2022-</w:t>
      </w:r>
      <w:r>
        <w:rPr>
          <w:color w:val="6E6158"/>
        </w:rPr>
        <w:t>2023 Mentor, Legal Education Access Pipeline, 2022-2023 Member, President, USC Gould Street Law, 2021-2023</w:t>
      </w:r>
    </w:p>
    <w:p>
      <w:pPr>
        <w:pStyle w:val="BodyText"/>
        <w:spacing w:line="232" w:lineRule="exac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Community</w:t>
      </w:r>
      <w:r>
        <w:rPr>
          <w:color w:val="6E6158"/>
          <w:spacing w:val="12"/>
        </w:rPr>
        <w:t> </w:t>
      </w:r>
      <w:r>
        <w:rPr>
          <w:color w:val="6E6158"/>
        </w:rPr>
        <w:t>Outreach</w:t>
      </w:r>
      <w:r>
        <w:rPr>
          <w:color w:val="6E6158"/>
          <w:spacing w:val="12"/>
        </w:rPr>
        <w:t> </w:t>
      </w:r>
      <w:r>
        <w:rPr>
          <w:color w:val="6E6158"/>
        </w:rPr>
        <w:t>Chair,</w:t>
      </w:r>
      <w:r>
        <w:rPr>
          <w:color w:val="6E6158"/>
          <w:spacing w:val="12"/>
        </w:rPr>
        <w:t> </w:t>
      </w:r>
      <w:r>
        <w:rPr>
          <w:color w:val="6E6158"/>
        </w:rPr>
        <w:t>Black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Student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2021-</w:t>
      </w:r>
      <w:r>
        <w:rPr>
          <w:color w:val="6E6158"/>
          <w:spacing w:val="-4"/>
        </w:rPr>
        <w:t>2024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afreeman@fennemorelaw.com" TargetMode="External"/><Relationship Id="rId11" Type="http://schemas.openxmlformats.org/officeDocument/2006/relationships/hyperlink" Target="https://www.fennemorelaw.com/services/estate-plann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Amir Freeman - Fennemore</dc:title>
  <dcterms:created xsi:type="dcterms:W3CDTF">2026-06-12T09:46:00Z</dcterms:created>
  <dcterms:modified xsi:type="dcterms:W3CDTF">2026-06-12T09:46:00Z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